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WohnStG (Nordrhein-Westfalen) — Grundsätze</w:t>
      </w:r>
    </w:p>
    <w:p>
      <w:r>
        <w:rPr>
          <w:color w:val="555555"/>
          <w:sz w:val="18"/>
        </w:rPr>
        <w:t xml:space="preserve">Wohnraumstärkungsgesetz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Wohnraum muss sich zu jeder Zeit in einem Zustand befinden, der seinen Gebrauch zu Wohnzwecken ohne erhebliche Beeinträchtigungen zulässt. Er muss so benutzt werden, dass Bewohnerinnen und Bewohner sowie Nachbarinnen und Nachbarn nicht gefährdet oder unzumutbar belästigt werden. Die Sätze 1 und 2 gelten entsprechend für Unterkünfte im Sinne dieses Gesetzes.</w:t>
      </w:r>
    </w:p>
    <w:p>
      <w:r>
        <w:t xml:space="preserve">(2) Die Gemeinden haben die Aufgabe, auf die Instandsetzung, die Erfüllung von Mindestanforderungen und die ordnungsmäßige Nutzung von Wohnraum oder Unterkünften hinzuwirken und die dazu erforderlichen Maßnahmen zu treffen (Wohnungsaufsicht). Die Gemeinden nehmen diese Aufgabe als Selbstverwaltungsangelegenheit wahr.</w:t>
      </w:r>
    </w:p>
    <w:p>
      <w:r>
        <w:rPr>
          <w:color w:val="555555"/>
          <w:sz w:val="17"/>
        </w:rPr>
        <w:t xml:space="preserve">Zitiervorschlag: § 1 WohnStG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https://recht.nulegal.eu/gesetze/WohnStG/1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