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WoZErhV 2</w:t>
      </w:r>
    </w:p>
    <w:p>
      <w:r>
        <w:rPr>
          <w:color w:val="555555"/>
          <w:sz w:val="18"/>
        </w:rPr>
        <w:t xml:space="preserve">Zweite Wohnungsfürsorge-Zinserhöhungsverordnung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87a Abs. 5 Satz 3 des Zweiten Wohnungsbaugesetzes in der Fassung der Bekanntmachung vom 11. Juli 1985 (BGBl. I S. 1284), zuletzt geändert durch Artikel 12 des Haushaltsbegleitgesetzes 1989 vom 20. Dezember 1988 (BGBl. I S. 2262), verordnet die Bundesregierung:</w:t>
      </w:r>
    </w:p>
    <w:p>
      <w:r>
        <w:rPr>
          <w:color w:val="555555"/>
          <w:sz w:val="17"/>
        </w:rPr>
        <w:t xml:space="preserve">Zitiervorschlag: Eingangsformel WoZErhV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https://recht.nulegal.eu/gesetze/WoZErhV%202/eingangsformel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