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WoZErhV 2 — Begrenzung der Zinserhöhung</w:t>
      </w:r>
    </w:p>
    <w:p>
      <w:r>
        <w:rPr>
          <w:color w:val="555555"/>
          <w:sz w:val="18"/>
        </w:rPr>
        <w:t xml:space="preserve">Zweite Wohnungsfürsorge-Zinserhöhungsverordnung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Zinserhöhung nach § 2 Abs. 1 ist so begrenzt, daß die monatliche Mehrbelastung 100 Deutsche Mark je Wohnung nicht übersteigt.</w:t>
      </w:r>
    </w:p>
    <w:p>
      <w:r>
        <w:rPr>
          <w:color w:val="555555"/>
          <w:sz w:val="17"/>
        </w:rPr>
        <w:t xml:space="preserve">Zitiervorschlag: § 3 WoZErhV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https://recht.nulegal.eu/gesetze/WoZErhV%202/3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WoZErhV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