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WoZErhV 2 — Zinserhöhung</w:t>
      </w:r>
    </w:p>
    <w:p>
      <w:r>
        <w:rPr>
          <w:color w:val="555555"/>
          <w:sz w:val="18"/>
        </w:rPr>
        <w:t xml:space="preserve">Zweite Wohnungsfürsorge-Zinserhöhungsverordnung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Darlehen sind vorbehaltlich des § 3 mit einem Zinssatz von 4,5 vom Hundert jährlich zu verzinsen.</w:t>
      </w:r>
    </w:p>
    <w:p>
      <w:r>
        <w:t xml:space="preserve">(2) Die höhere Verzinsung beginnt mit dem auf das Inkrafttreten dieser Verordnung folgenden Zahlungsabschnitt (§ 18b Abs. 4 des Wohnungsbindungsgesetzes).</w:t>
      </w:r>
    </w:p>
    <w:p>
      <w:r>
        <w:rPr>
          <w:color w:val="555555"/>
          <w:sz w:val="17"/>
        </w:rPr>
        <w:t xml:space="preserve">Zitiervorschlag: § 2 WoZErhV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https://recht.nulegal.eu/gesetze/WoZErhV%202/2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