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WoZErhV 1</w:t>
      </w:r>
    </w:p>
    <w:p>
      <w:r>
        <w:rPr>
          <w:color w:val="555555"/>
          <w:sz w:val="18"/>
        </w:rPr>
        <w:t xml:space="preserve">Erste Wohnungsfürsorge-Zinserhöhungsverordnung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87a Abs. 5 Satz 2 des Zweiten Wohnungsbaugesetzes in der Fassung der Bekanntmachung vom 30. Juli 1980 (BGBl. I S. 1085), der durch Artikel 27 Unterartikel 3 des Gesetzes vom 22. Dezember 1981 (BGBl. I S. 1523) eingefügt und durch Artikel 2 des Gesetzes vom 21. Juli 1982 (BGBl. I S. 969) geändert worden ist, und auf Grund des § 38 des Wohnungsbaugesetzes für das Saarland in der Fassung der Bekanntmachung vom 10. Juni 1980 (Amtsblatt des Saarlandes S. 802), der durch Artikel 3 des Gesetzes vom 21. Juli 1982 (BGBl. I S. 969) eingefügt worden ist, verordnet die Bundesregierung mit Zustimmung des Bundesrates:</w:t>
      </w:r>
    </w:p>
    <w:p>
      <w:r>
        <w:rPr>
          <w:color w:val="555555"/>
          <w:sz w:val="17"/>
        </w:rPr>
        <w:t xml:space="preserve">Zitiervorschlag: Eingangsformel WoZErhV 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https://recht.nulegal.eu/gesetze/WoZErhV%201/eingangsformel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