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WoZErhV 1 — Begrenzung der Zinserhöhung bei Familienheimen und Eigentumswohnungen</w:t>
      </w:r>
    </w:p>
    <w:p>
      <w:r>
        <w:rPr>
          <w:color w:val="555555"/>
          <w:sz w:val="18"/>
        </w:rPr>
        <w:t xml:space="preserve">Erste Wohnungsfürsorge-Zinserhöhungsverordnung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Betrifft die Zinserhöhung nach § 2 Abs. 1 und 2 Wohnungen im Sinne des § 2 Abs. 3 Nr. 1, ist sie so begrenzt, daß die monatliche Mehrbelastung 100 Deutsche Mark je Wohnung nicht übersteigt.</w:t>
      </w:r>
    </w:p>
    <w:p>
      <w:r>
        <w:rPr>
          <w:color w:val="555555"/>
          <w:sz w:val="17"/>
        </w:rPr>
        <w:t xml:space="preserve">Zitiervorschlag: § 4 WoZErhV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https://recht.nulegal.eu/gesetze/WoZErhV%201/4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