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WoVermRG</w:t>
      </w:r>
    </w:p>
    <w:p>
      <w:r>
        <w:rPr>
          <w:color w:val="555555"/>
          <w:sz w:val="18"/>
        </w:rPr>
        <w:t xml:space="preserve">Gesetz zur Regelung der Wohnungsvermittlung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Wohnungsvermittler darf Wohnräume nur anbieten, wenn er dazu einen Auftrag von dem Vermieter oder einem anderen Berechtigten hat.</w:t>
      </w:r>
    </w:p>
    <w:p>
      <w:r>
        <w:t xml:space="preserve">(2) Der Wohnungsvermittler darf öffentlich, insbesondere in Zeitungsanzeigen, auf Aushängetafeln und dergleichen, nur unter Angabe seines Namens und der Bezeichnung als Wohnungsvermittler Wohnräume anbieten oder suchen; bietet er Wohnräume an, so hat er auch den Mietpreis der Wohnräume anzugeben und darauf hinzuweisen, ob Nebenleistungen besonders zu vergüten sind.</w:t>
      </w:r>
    </w:p>
    <w:p>
      <w:r>
        <w:rPr>
          <w:color w:val="555555"/>
          <w:sz w:val="17"/>
        </w:rPr>
        <w:t xml:space="preserve">Zitiervorschlag: § 6 WoVermRG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https://recht.nulegal.eu/gesetze/WoVermRG/6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