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WoVermRG</w:t>
      </w:r>
    </w:p>
    <w:p>
      <w:r>
        <w:rPr>
          <w:color w:val="555555"/>
          <w:sz w:val="18"/>
        </w:rPr>
        <w:t xml:space="preserve">Gesetz zur Regelung der Wohnungsvermittlung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an den Wohnungsvermittler ein ihm nach diesem Gesetz nicht zustehendes Entgelt, eine Vergütung anderer Art, eine Auslagenerstattung, ein Vorschuß oder eine Vertragsstrafe, die den in § 4 genannten Satz übersteigt, geleistet worden ist, kann die Leistung nach den allgemeinen Vorschriften des bürgerlichen Rechts zurückgefordert werden; die Vorschrift des § 817 Satz 2 des Bürgerlichen Gesetzbuchs ist nicht anzuwenden.</w:t>
      </w:r>
    </w:p>
    <w:p>
      <w:r>
        <w:t xml:space="preserve">(2) Soweit Leistungen auf Grund von Vereinbarungen erbracht worden sind, die nach § 2 Absatz 5 Nummer 2 oder § 4a unwirksam oder nicht wirksam geworden sind, ist Absatz 1 entsprechend anzuwenden.</w:t>
      </w:r>
    </w:p>
    <w:p>
      <w:r>
        <w:rPr>
          <w:color w:val="555555"/>
          <w:sz w:val="17"/>
        </w:rPr>
        <w:t xml:space="preserve">Zitiervorschlag: § 5 WoVermRG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https://recht.nulegal.eu/gesetze/WoVermRG/5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