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Wohnungsvermittler im Sinne dieses Gesetzes ist, wer den Abschluß von Mietverträgen über Wohnräume vermittelt oder die Gelegenheit zum Abschluß von Mietverträgen über Wohnräume nachweist.</w:t>
      </w:r>
    </w:p>
    <w:p>
      <w:r>
        <w:t xml:space="preserve">(2) Zu den Wohnräumen im Sinne dieses Gesetzes gehören auch solche Geschäftsräume, die wegen ihres räumlichen oder wirtschaftlichen Zusammenhangs mit Wohnräumen mit diesen zusammen vermietet werden.</w:t>
      </w:r>
    </w:p>
    <w:p>
      <w:r>
        <w:t xml:space="preserve">(3) Die Vorschriften dieses Gesetzes gelten nicht für die Vermittlung oder den Nachweis der Gelegenheit zum Abschluß von Mietverträgen über Wohnräume im Fremdenverkehr.</w:t>
      </w:r>
    </w:p>
    <w:p>
      <w:r>
        <w:rPr>
          <w:color w:val="555555"/>
          <w:sz w:val="17"/>
        </w:rPr>
        <w:t xml:space="preserve">Zitiervorschlag: § 1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