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WoStichPrG</w:t>
      </w:r>
    </w:p>
    <w:p>
      <w:r>
        <w:rPr>
          <w:color w:val="555555"/>
          <w:sz w:val="18"/>
        </w:rPr>
        <w:t xml:space="preserve">Wohnungsstichprobengesetz 1978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Weiterleitung von Einzelangaben nach § 12 Abs. 2 des Gesetzes über die Statistik für Bundeszwecke in der im Bundesgesetzblatt Teil III, Gliederungsnummer 29-1, veröffentlichten bereinigten Fassung, zuletzt geändert durch Artikel 52 des Einführungsgesetzes zur Abgabenordnung vom 14. Dezember 1976 (BGBl. I S. 3341), an die fachlich zuständigen obersten Bundes- und Landesbehörden und die von ihnen bestimmten Stellen und Personen ist ohne Nennung von Namen und Anschrift des Auskunftspflichtigen zugelassen.</w:t>
      </w:r>
    </w:p>
    <w:p>
      <w:r>
        <w:t xml:space="preserve">(2) Die Weiterleitung von Einzelangaben ist nur durch die für die Statistik zuständigen Stellen des Bundes und der Länder zulässig. Die Weiterleitung zu steuerlichen Zwecken ist ausgeschlossen.</w:t>
      </w:r>
    </w:p>
    <w:p>
      <w:r>
        <w:t xml:space="preserve">(3) § 12 Abs. 1 des Gesetzes über die Statistik für Bundeszwecke gilt auch für Personen, denen von diesem Gesetz erfaßte Einzelangaben zugeleitet werden.</w:t>
      </w:r>
    </w:p>
    <w:p>
      <w:r>
        <w:t xml:space="preserve">(4) § 12 Abs. 4 des Gesetzes über die Statistik für Bundeszwecke gilt nicht für statistische Tabellen mit Bundes- oder Landesergebnissen oder mit Ergebnissen für Gebietsgliederungen zum Zwecke der Raumordnung, soweit Einzelangaben zur vollständigen Darstellung der Ergebnisse in den Tabellen erforderlich sind.</w:t>
      </w:r>
    </w:p>
    <w:p>
      <w:r>
        <w:rPr>
          <w:color w:val="555555"/>
          <w:sz w:val="17"/>
        </w:rPr>
        <w:t xml:space="preserve">Zitiervorschlag: § 5 WoStichPrG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https://recht.nulegal.eu/gesetze/WoStichPrG/5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