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WoStichPrG</w:t>
      </w:r>
    </w:p>
    <w:p>
      <w:r>
        <w:rPr>
          <w:color w:val="555555"/>
          <w:sz w:val="18"/>
        </w:rPr>
        <w:t xml:space="preserve">Wohnungsstichprobengesetz 1978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Geltungsbereich dieses Gesetzes wird auf repräsentativer Grundlage eine Bundesstatistik über Gebäude, Wohnungen, Wohnparteien und deren Wohnumgebung (Wohnungsstichprobe) nach den Verhältnissen im April 1978 durchgeführt.</w:t>
      </w:r>
    </w:p>
    <w:p>
      <w:r>
        <w:rPr>
          <w:color w:val="555555"/>
          <w:sz w:val="17"/>
        </w:rPr>
        <w:t xml:space="preserve">Zitiervorschlag: § 1 WoStichPrG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https://recht.nulegal.eu/gesetze/WoStichPrG/1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