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WoStichPrG 1972</w:t>
      </w:r>
    </w:p>
    <w:p>
      <w:r>
        <w:rPr>
          <w:color w:val="555555"/>
          <w:sz w:val="18"/>
        </w:rPr>
        <w:t xml:space="preserve">Wohnungsstichprobengesetz 1972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Wohnungsstichprobe sind zu erfassen:</w:t>
      </w:r>
    </w:p>
    <w:p>
      <w:pPr>
        <w:ind w:left="420"/>
      </w:pPr>
      <w:r>
        <w:t xml:space="preserve">1. Hinsichtlich der Grundstücke, Gebäude und Wohnungen:</w:t>
      </w:r>
    </w:p>
    <w:p>
      <w:pPr>
        <w:ind w:left="780"/>
      </w:pPr>
      <w:r>
        <w:t xml:space="preserve">a) Stand der Bauleitplanung, Art und Maß der Nutzung, Lage des Grundstücks im Gemeindegebiet, Bauweise und Erschließung;</w:t>
      </w:r>
    </w:p>
    <w:p>
      <w:pPr>
        <w:ind w:left="780"/>
      </w:pPr>
      <w:r>
        <w:t xml:space="preserve">b) Art, Alter, Ausstattung, Zustand des Gebäudes, Zahl der Geschosse und Wohnungen; Förderung mit Mitteln des sozialen Wohnungsbaus; begonnene oder geplante Modernisierung und Instandsetzung sowie deren Kosten und Finanzierung; Eigentümer und bei Einzelpersonen deren soziale Stellung;</w:t>
      </w:r>
    </w:p>
    <w:p>
      <w:pPr>
        <w:ind w:left="780"/>
      </w:pPr>
      <w:r>
        <w:t xml:space="preserve">c) Art, Größe, Ausstattung der Wohnung, Art der Beheizung, Lage der Wohnung innerhalb des Gebäudes, Art der Nutzung der Räume, Fernsprechanschluß sowie bei Mietwohnungen die Höhe der Miete.</w:t>
      </w:r>
    </w:p>
    <w:p>
      <w:pPr>
        <w:ind w:left="420"/>
      </w:pPr>
      <w:r>
        <w:t xml:space="preserve">2. Hinsichtlich der Wohnparteien (Haushalte):</w:t>
      </w:r>
    </w:p>
    <w:p>
      <w:pPr>
        <w:ind w:left="780"/>
      </w:pPr>
      <w:r>
        <w:t xml:space="preserve">a) Haushaltsmitglieder nach Alter, Geschlecht, Staatsangehörigkeit, Familienstand und Stellung innerhalb des Haushalts oder der Familie, sozialer Stellung, Einkommensgruppe; weitere Wohnung zum eigenen Gebrauch im Geltungsbereich dieses Gesetzes; benutzte Verkehrsmittel und Zeitaufwand für den Weg zum Kindergarten, zur Arbeits- und Ausbildungsstätte sowie deren Beurteilung;</w:t>
      </w:r>
    </w:p>
    <w:p>
      <w:pPr>
        <w:ind w:left="780"/>
      </w:pPr>
      <w:r>
        <w:t xml:space="preserve">b) Haushalte nach Wohngeldbezug, erstmaligem Anlaß und Zeitpunkt der Wohngeldgewährung und derzeitige monatliche Höhe des Wohngelds; Anzahl eigengenutzter Kraftfahrzeuge, der Stellplätze sowie deren Lage, Abstellräume, Spielmöglichkeiten für Kinder, Einkaufsmöglichkeiten, Wohnlage und Umwelteinflüsse sowie deren Beurteilung;</w:t>
      </w:r>
    </w:p>
    <w:p>
      <w:pPr>
        <w:ind w:left="780"/>
      </w:pPr>
      <w:r>
        <w:t xml:space="preserve">c) für die vorherige Wohnung Angaben wie Nummer 1 Buchstabe c sowie Wohndauer und Rechtsverhältnis, Größe der Gemeinde, Lage im Gemeindegebiet; Grund des Umzugs in die jetzige Wohnung und Bezugstermin;</w:t>
      </w:r>
    </w:p>
    <w:p>
      <w:pPr>
        <w:ind w:left="780"/>
      </w:pPr>
      <w:r>
        <w:t xml:space="preserve">d) beabsichtigter Wohnungswechsel und Gründe, Wohnabsichten, Art und Umfang der eigenen Bemühungen, Zahlungsbereitschaft zur Verwirklichung;</w:t>
      </w:r>
    </w:p>
    <w:p>
      <w:pPr>
        <w:ind w:left="780"/>
      </w:pPr>
      <w:r>
        <w:t xml:space="preserve">e) bei Untermietern Größe und Einrichtung der Räume und Höhe der Miete.</w:t>
      </w:r>
    </w:p>
    <w:p>
      <w:r>
        <w:rPr>
          <w:color w:val="555555"/>
          <w:sz w:val="17"/>
        </w:rPr>
        <w:t xml:space="preserve">Zitiervorschlag: § 3 WoStichPrG 1972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https://recht.nulegal.eu/gesetze/WoStichPrG%201972/3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