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WoStichPrG 1972</w:t>
      </w:r>
    </w:p>
    <w:p>
      <w:r>
        <w:rPr>
          <w:color w:val="555555"/>
          <w:sz w:val="18"/>
        </w:rPr>
        <w:t xml:space="preserve">Wohnungsstichprobengesetz 1972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Wohnungsstichprobe erstreckt sich im Bundesdurchschnitt auf höchstens 1 vom Hundert der Gebäude mit Wohnraum.</w:t>
      </w:r>
    </w:p>
    <w:p>
      <w:r>
        <w:rPr>
          <w:color w:val="555555"/>
          <w:sz w:val="17"/>
        </w:rPr>
        <w:t xml:space="preserve">Zitiervorschlag: § 2 WoStichPrG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https://recht.nulegal.eu/gesetze/WoStichPrG%201972/2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