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WoStatG — Hilfsmerkmale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Hilfsmerkmale sind:</w:t>
      </w:r>
    </w:p>
    <w:p>
      <w:pPr>
        <w:ind w:left="420"/>
      </w:pPr>
      <w:r>
        <w:t xml:space="preserve">1. Name und Anschrift der Auskunftspflichtigen und der nicht auskunftspflichtigen Haushaltsmitglieder,</w:t>
      </w:r>
    </w:p>
    <w:p>
      <w:pPr>
        <w:ind w:left="420"/>
      </w:pPr>
      <w:r>
        <w:t xml:space="preserve">2. Straße und Hausnummer des Gebäudes,</w:t>
      </w:r>
    </w:p>
    <w:p>
      <w:pPr>
        <w:ind w:left="420"/>
      </w:pPr>
      <w:r>
        <w:t xml:space="preserve">3. Lage der Wohnung im Gebäude,</w:t>
      </w:r>
    </w:p>
    <w:p>
      <w:pPr>
        <w:ind w:left="420"/>
      </w:pPr>
      <w:r>
        <w:t xml:space="preserve">4. Telefonnummer der für Rückfragen zur Verfügung stehenden Personen.</w:t>
      </w:r>
    </w:p>
    <w:p>
      <w:r>
        <w:rPr>
          <w:color w:val="555555"/>
          <w:sz w:val="17"/>
        </w:rPr>
        <w:t xml:space="preserve">Zitiervorschlag: § 5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