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WoStatG — Berichtszeitpunkt</w:t>
      </w:r>
    </w:p>
    <w:p>
      <w:r>
        <w:rPr>
          <w:color w:val="555555"/>
          <w:sz w:val="18"/>
        </w:rPr>
        <w:t xml:space="preserve">Wohnungsstatistikgesetz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Erhebung nach § 1 Nr. 1 wird nach dem Stand vom 30. September 1995 durchgeführt. Mit der Erhebung kann bis zu sechs Monaten vor dem Erhebungsstichtag begonnen werden.</w:t>
      </w:r>
    </w:p>
    <w:p>
      <w:r>
        <w:t xml:space="preserve">(2) Die Erhebung nach § 1 Nr. 2 wird nach dem Stand vom 30. September 1993 durchgeführt.</w:t>
      </w:r>
    </w:p>
    <w:p>
      <w:r>
        <w:rPr>
          <w:color w:val="555555"/>
          <w:sz w:val="17"/>
        </w:rPr>
        <w:t xml:space="preserve">Zitiervorschlag: § 3 WoStatG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https://recht.nulegal.eu/gesetze/WoStatG/3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