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WoStatG — Art der Auskunftserteilung</w:t>
      </w:r>
    </w:p>
    <w:p>
      <w:r>
        <w:rPr>
          <w:color w:val="555555"/>
          <w:sz w:val="18"/>
        </w:rPr>
        <w:t xml:space="preserve">Wohnungsstatistikgesetz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den Erhebungsvordrucken enthaltenen Fragen können mündlich gegenüber dem Erhebungsbeauftragten oder schriftlich beantwortet werden. Die Angaben zu den Merkmalen nach § 5 Nr. 1 bis 3, die Zahl der Haushalte in der Wohnung und die Zahl der Personen im Haushalt sind auf Verlangen der Erhebungsbeauftragten mündlich mitzuteilen.</w:t>
      </w:r>
    </w:p>
    <w:p>
      <w:r>
        <w:t xml:space="preserve">(2) Bei schriftlicher Auskunftserteilung sind die ausgefüllten Erhebungsvordrucke</w:t>
      </w:r>
    </w:p>
    <w:p>
      <w:pPr>
        <w:ind w:left="420"/>
      </w:pPr>
      <w:r>
        <w:t xml:space="preserve">1. unverzüglich dem Erhebungsbeauftragten auszuhändigen oder in verschlossenem Umschlag zu übergeben oder</w:t>
      </w:r>
    </w:p>
    <w:p>
      <w:pPr>
        <w:ind w:left="420"/>
      </w:pPr>
      <w:r>
        <w:t xml:space="preserve">2. innerhalb einer Woche bei der Erhebungsstelle abzugeben oder dorthin zu übersenden.</w:t>
      </w:r>
    </w:p>
    <w:p>
      <w:r>
        <w:t xml:space="preserve">Bei Abgabe in verschlossenem Umschlag sind Name und Anschrift auf dem Umschlag anzugeben.</w:t>
      </w:r>
    </w:p>
    <w:p>
      <w:r>
        <w:rPr>
          <w:color w:val="555555"/>
          <w:sz w:val="17"/>
        </w:rPr>
        <w:t xml:space="preserve">Zitiervorschlag: § 10 WoStatG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https://recht.nulegal.eu/gesetze/WoStatG/10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