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WoPG — Ermächtigungen</w:t>
      </w:r>
    </w:p>
    <w:p>
      <w:r>
        <w:rPr>
          <w:color w:val="555555"/>
          <w:sz w:val="18"/>
        </w:rPr>
        <w:t xml:space="preserve">Wohnungsbau-Prämiengesetz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Vorschriften zur Durchführung dieses Gesetzes zu erlassen über 1. (weggefallen)</w:t>
      </w:r>
    </w:p>
    <w:p>
      <w:pPr>
        <w:ind w:left="420"/>
      </w:pPr>
      <w:r>
        <w:t xml:space="preserve">2. die Bestimmung der Genossenschaften, die zu den Bau- und Wohnungsgenossenschaften gehören (§ 2 Abs. 1 Nr. 2);</w:t>
      </w:r>
    </w:p>
    <w:p>
      <w:pPr>
        <w:ind w:left="420"/>
      </w:pPr>
      <w:r>
        <w:t xml:space="preserve">3. den Inhalt der in § 2 Abs. 1 Nr. 3 bezeichneten Sparverträge, die Berechnung der Rückzahlungsfristen, die Folgen vorzeitiger Rückzahlung von Sparbeträgen und die Verpflichtungen der Kreditinstitute; die Vorschriften sind den in den §§ 18 bis 29 der Einkommensteuer-Durchführungsverordnung 1953 enthaltenen Vorschriften mit der Maßgabe anzupassen, daß eine Frist bestimmt werden kann, innerhalb der die Prämien zusammen mit den prämienbegünstigten Aufwendungen zu dem vertragsmäßigen Zweck zu verwenden sind;</w:t>
      </w:r>
    </w:p>
    <w:p>
      <w:pPr>
        <w:ind w:left="420"/>
      </w:pPr>
      <w:r>
        <w:t xml:space="preserve">4. den Inhalt der in § 2 Abs. 1 Nr. 4 bezeichneten Verträge und die Verwendung der auf Grund solcher Verträge angesammelten Beträge; dabei kann der vertragsmäßige Zweck auf den Bau durch das Unternehmen oder auf den Erwerb von dem Unternehmen, mit dem der Vertrag abgeschlossen worden ist, beschränkt und eine Frist von mindestens drei Jahren bestimmt werden, innerhalb der die Prämien zusammen mit den prämienbegünstigten Aufwendungen zu dem vertragsmäßigen Zweck zu verwenden sind. Die Prämienbegünstigung kann auf Verträge über Gebäude beschränkt werden, die nach dem 31. Dezember 1949 fertiggestellt worden sind. Für die Fälle des Erwerbs kann bestimmt werden, daß der angesammelte Betrag und die Prämien nur zur Leistung des in bar zu zahlenden Kaufpreises verwendet werden dürfen;</w:t>
      </w:r>
    </w:p>
    <w:p>
      <w:pPr>
        <w:ind w:left="420"/>
      </w:pPr>
      <w:r>
        <w:t xml:space="preserve">5. die Ermittlung, Festsetzung, Auszahlung oder Rückzahlung der Prämie, wenn Besteuerungsgrundlagen für die Berechnung des nach § 2a maßgebenden Einkommens, die der Veranlagung zur Einkommensteuer zugrunde gelegen haben, geändert werden oder wenn für Aufwendungen, die vermögenswirksame Leistungen darstellen, Arbeitnehmer-Sparzulagen zurückgezahlt oder nachträglich festgesetzt oder ausgezahlt werden;</w:t>
      </w:r>
    </w:p>
    <w:p>
      <w:pPr>
        <w:ind w:left="420"/>
      </w:pPr>
      <w:r>
        <w:t xml:space="preserve">6. das Verfahren für die Ermittlung, Festsetzung, Auszahlung und Rückforderung der Prämie. Hierzu gehören insbesondere Vorschriften über Aufzeichnungs-, Aufbewahrungs-, Bescheinigungs- und Anzeigepflichten des Unternehmens, bei dem die prämienbegünstigten Aufwendungen angelegt worden sind.</w:t>
      </w:r>
    </w:p>
    <w:p>
      <w:r>
        <w:t xml:space="preserve">(2) Das Bundesministerium der Finanzen wird ermächtigt, den Wortlaut des Wohnungsbau-Prämiengesetzes und der hierzu erlassenen Durchführungsverordnung in der jeweils geltenden Fassung mit neuem Datum, unter neuer Überschrift und in neuer Paragraphenfolge bekanntzumachen und dabei Unstimmigkeiten des Wortlauts zu beseitigen.</w:t>
      </w:r>
    </w:p>
    <w:p>
      <w:r>
        <w:t xml:space="preserve">(3) Das Bundesministerium der Finanzen wird ermächtigt, im Einvernehmen mit den obersten Finanzbehörden der Länder</w:t>
      </w:r>
    </w:p>
    <w:p>
      <w:pPr>
        <w:ind w:left="420"/>
      </w:pPr>
      <w:r>
        <w:t xml:space="preserve">a) den in § 4 Abs. 2 Satz 1 und den in § 4a Abs. 2 Satz 3 vorgeschriebenen Vordruck und</w:t>
      </w:r>
    </w:p>
    <w:p>
      <w:pPr>
        <w:ind w:left="420"/>
      </w:pPr>
      <w:r>
        <w:t xml:space="preserve">b) die in § 4a Abs. 3 vorgeschriebenen Datensätze</w:t>
      </w:r>
    </w:p>
    <w:p>
      <w:r>
        <w:t xml:space="preserve">zu bestimmen.</w:t>
      </w:r>
    </w:p>
    <w:p>
      <w:r>
        <w:rPr>
          <w:color w:val="555555"/>
          <w:sz w:val="17"/>
        </w:rPr>
        <w:t xml:space="preserve">Zitiervorschlag: § 9 WoPG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