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WoPG — Anwendung der Abgabenordnung und der Finanzgerichtsordnung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Wohnungsbauprämie sind die für Steuervergütungen geltenden Vorschriften der Abgabenordnung entsprechend anzuwenden. Dies gilt nicht für § 108 Abs. 3 der Abgabenordnung hinsichtlich der in § 2 genannten Fristen sowie für die §§ 109 und 163 der Abgabenordnung.</w:t>
      </w:r>
    </w:p>
    <w:p>
      <w:r>
        <w:t xml:space="preserve">(2) Für die Wohnungsbauprämie gelten die Strafvorschriften des § 370 Abs. 1 bis 4, der §§ 371, 375 Abs. 1 und des § 376 sowie die Bußgeldvorschriften der §§ 378, 379 Abs. 1, 4 und der §§ 383 und 384 der Abgabenordnung entsprechend. Für das Strafverfahren wegen einer Straftat nach Satz 1 sowie der Begünstigung einer Person, die eine solche Tat begangen hat, gelten die §§ 385 bis 408, für das Bußgeldverfahren wegen einer Ordnungswidrigkeit nach Satz 1 die §§ 409 bis 412 der Abgabenordnung entsprechend.</w:t>
      </w:r>
    </w:p>
    <w:p>
      <w:r>
        <w:t xml:space="preserve">(3) In öffentlich-rechtlichen Streitigkeiten über die auf Grund dieses Gesetzes ergehenden Verwaltungsakte der Finanzbehörden ist der Finanzrechtsweg gegeben.</w:t>
      </w:r>
    </w:p>
    <w:p>
      <w:r>
        <w:t xml:space="preserve">(4) Besteuerungsgrundlagen für die Berechnung des nach § 2a maßgebenden Einkommens, die der Veranlagung zur Einkommensteuer zugrunde gelegen haben, können der Höhe nach nicht durch einen Rechtsbehelf gegen die Prämie angegriffen werden.</w:t>
      </w:r>
    </w:p>
    <w:p>
      <w:r>
        <w:rPr>
          <w:color w:val="555555"/>
          <w:sz w:val="17"/>
        </w:rPr>
        <w:t xml:space="preserve">Zitiervorschlag: § 8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