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WoPG — Steuerliche Behandlung der Prämie</w:t>
      </w:r>
    </w:p>
    <w:p>
      <w:r>
        <w:rPr>
          <w:color w:val="555555"/>
          <w:sz w:val="18"/>
        </w:rPr>
        <w:t xml:space="preserve">Wohnungsbau-Prämiengesetz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Prämien gehören nicht zu den Einkünften im Sinne des Einkommensteuergesetzes.</w:t>
      </w:r>
    </w:p>
    <w:p>
      <w:r>
        <w:rPr>
          <w:color w:val="555555"/>
          <w:sz w:val="17"/>
        </w:rPr>
        <w:t xml:space="preserve">Zitiervorschlag: § 6 WoPG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