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WoPG — Verwendung der Prämie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Die Prämien für die in § 2 Abs. 1 Nr. 1, 3 und 4 bezeichneten Aufwendungen sind vorbehaltlich des § 2 Abs. 2 Satz 2 bis 6 sowie Abs. 3 Satz 2 zusammen mit den prämienbegünstigten Aufwendungen zu dem vertragsmäßigen Zweck zu verwenden. Geschieht das nicht, so hat das Unternehmen in den Fällen des § 4b dem Finanzamt unverzüglich Mitteilung zu machen.</w:t>
      </w:r>
    </w:p>
    <w:p>
      <w:r>
        <w:t xml:space="preserve">(3) Über Prämien, die für Aufwendungen nach § 2 Abs. 1 Nr. 2 ausgezahlt werden, kann der Prämienberechtigte verfügen, wenn das Geschäftsguthaben beim Ausscheiden des Prämienberechtigten aus der Genossenschaft ausgezahlt wird.</w:t>
      </w:r>
    </w:p>
    <w:p>
      <w:r>
        <w:rPr>
          <w:color w:val="555555"/>
          <w:sz w:val="17"/>
        </w:rPr>
        <w:t xml:space="preserve">Zitiervorschlag: § 5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