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WoPG — Prämienverfahren in den Fällen des § 2 Abs. 1 Nr. 2 bis 4</w:t>
      </w:r>
    </w:p>
    <w:p>
      <w:r>
        <w:rPr>
          <w:color w:val="555555"/>
          <w:sz w:val="18"/>
        </w:rPr>
        <w:t xml:space="preserve">Wohnungsbau-Prämiengesetz</w:t>
      </w:r>
    </w:p>
    <w:p>
      <w:r>
        <w:rPr>
          <w:color w:val="555555"/>
          <w:sz w:val="18"/>
        </w:rPr>
        <w:t xml:space="preserve">Stand: 10.06.2019 (konsolidierte Textfassung, kein amtliches Inkrafttretensdatum)</w:t>
      </w:r>
    </w:p>
    <w:p>
      <w:r>
        <w:t xml:space="preserve">(1) Bei Aufwendungen im Sinne des § 2 Abs. 1 Nr. 2 bis 4 hat das Unternehmen den Antrag an das Wohnsitzfinanzamt des Prämienberechtigten weiterzuleiten.</w:t>
      </w:r>
    </w:p>
    <w:p>
      <w:r>
        <w:t xml:space="preserve">(2) Wird dem Antrag entsprochen, veranlaßt das Finanzamt die Auszahlung der Prämie an das Unternehmen zugunsten des Prämienberechtigten durch die zuständige Bundeskasse. Einen Bescheid über die Festsetzung der Prämie erteilt das Finanzamt nur auf besonderen Antrag des Prämienberechtigten. Wird nachträglich festgestellt, daß die Voraussetzungen für die Prämie nicht vorliegen oder die Prämie aus anderen Gründen ganz oder teilweise zu Unrecht gezahlt worden ist, so hat das Finanzamt die Prämienfestsetzung aufzuheben oder zu ändern und die Prämie, soweit sie zu Unrecht gezahlt worden ist, zurückzufordern. Sind zu diesem Zeitpunkt die prämienbegünstigten Aufwendungen durch das Unternehmen noch nicht ausgezahlt, so darf die Auszahlung nicht vorgenommen werden, bevor die Prämien an das Finanzamt zurückgezahlt sind.</w:t>
      </w:r>
    </w:p>
    <w:p>
      <w:r>
        <w:rPr>
          <w:color w:val="555555"/>
          <w:sz w:val="17"/>
        </w:rPr>
        <w:t xml:space="preserve">Zitiervorschlag: § 4b WoPG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https://recht.nulegal.eu/gesetze/WoPG/4b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