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WoPG — Prämienverfahren allgemein</w:t>
      </w:r>
    </w:p>
    <w:p>
      <w:r>
        <w:rPr>
          <w:color w:val="555555"/>
          <w:sz w:val="18"/>
        </w:rPr>
        <w:t xml:space="preserve">Wohnungsbau-Prämiengesetz</w:t>
      </w:r>
    </w:p>
    <w:p>
      <w:r>
        <w:rPr>
          <w:color w:val="555555"/>
          <w:sz w:val="18"/>
        </w:rPr>
        <w:t xml:space="preserve">Stand: 10.06.2019 (konsolidierte Textfassung, kein amtliches Inkrafttretensdatum)</w:t>
      </w:r>
    </w:p>
    <w:p>
      <w:r>
        <w:t xml:space="preserve">(1) Der Anspruch auf Prämie entsteht mit Ablauf des Sparjahrs. Sparjahr ist das Kalenderjahr, in dem die prämienbegünstigten Aufwendungen geleistet worden sind.</w:t>
      </w:r>
    </w:p>
    <w:p>
      <w:r>
        <w:t xml:space="preserve">(2) Die Prämie ist nach amtlich vorgeschriebenem Vordruck bis zum Ablauf des zweiten Kalenderjahrs, das auf das Sparjahr (Absatz 1) folgt, bei dem Unternehmen zu beantragen, an das die prämienbegünstigten Aufwendungen geleistet worden sind. Der Antragsteller hat zu erklären, für welche Aufwendungen er die Prämie beansprucht, wenn bei mehreren Verträgen die Summe der Aufwendungen den Höchstbetrag (§ 3 Abs. 2) überschreitet; Ehegatten (§ 3 Abs. 3) haben dies einheitlich zu erklären. Der Antragsteller ist verpflichtet, dem Unternehmen unverzüglich eine Änderung der Verhältnisse mitzuteilen, die zu einer Minderung oder zum Wegfall des Prämienanspruchs führen.</w:t>
      </w:r>
    </w:p>
    <w:p>
      <w:r>
        <w:t xml:space="preserve">(3) Überschreiten bei mehreren Verträgen die insgesamt ermittelten oder festgesetzten Prämien die für das Sparjahr höchstens zulässige Prämie (§ 3), ist die Summe der Prämien hierauf zu begrenzen. Dabei ist die Prämie vorrangig für Aufwendungen auf Verträge mit dem jeweils älteren Vertragsdatum zu belassen. Insoweit ist eine abweichende Erklärung des Prämienberechtigten oder seines Ehegatten unbeachtlich.</w:t>
      </w:r>
    </w:p>
    <w:p>
      <w:r>
        <w:t xml:space="preserve">(4) Ein Rückforderungsanspruch erlischt, wenn er nicht bis zum Ablauf des vierten Kalenderjahrs geltend gemacht worden ist, das auf das Kalenderjahr folgt, in dem der Prämienberechtigte die Prämie verwendet hat (§ 5).</w:t>
      </w:r>
    </w:p>
    <w:p>
      <w:r>
        <w:t xml:space="preserve">(5) Das Unternehmen darf die im Prämienverfahren bekanntgewordenen Verhältnisse der Beteiligten nur für das Verfahren verwerten. Es darf sie ohne Zustimmung der Beteiligten nur offenbaren, soweit dies gesetzlich zugelassen ist.</w:t>
      </w:r>
    </w:p>
    <w:p>
      <w:r>
        <w:rPr>
          <w:color w:val="555555"/>
          <w:sz w:val="17"/>
        </w:rPr>
        <w:t xml:space="preserve">Zitiervorschlag: § 4 WoPG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