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WoPG — Höhe der Prämie</w:t>
      </w:r>
    </w:p>
    <w:p>
      <w:r>
        <w:rPr>
          <w:color w:val="555555"/>
          <w:sz w:val="18"/>
        </w:rPr>
        <w:t xml:space="preserve">Wohnungsbau-Prämiengesetz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Prämie bemißt sich nach den im Sparjahr (§ 4 Abs. 1) geleisteten prämienbegünstigten Aufwendungen. Sie beträgt 10 Prozent der Aufwendungen.</w:t>
      </w:r>
    </w:p>
    <w:p>
      <w:r>
        <w:t xml:space="preserve">(2) Die Aufwendungen des Prämienberechtigten sind je Kalenderjahr bis zu einem Höchstbetrag von 700 Euro, bei Ehegatten (Absatz 3) zusammen bis zu 1 400 Euro prämienbegünstigt. Die Höchstbeträge stehen den Prämienberechtigten gemeinsam zu (Höchstbetragsgemeinschaft).</w:t>
      </w:r>
    </w:p>
    <w:p>
      <w:r>
        <w:t xml:space="preserve">(3) Ehegatten im Sinne dieses Gesetzes sind Personen, welche nach § 26b des Einkommensteuergesetzes zusammen veranlagt werden oder die, falls eine Veranlagung zur Einkommensteuer nicht durchgeführt wird, die Voraussetzungen des § 26 Absatz 1 Satz 1 des Einkommensteuergesetzes erfüllen. Die Regelungen dieses Gesetzes zu Ehegatten sind auch auf Lebenspartner anzuwenden, wenn in Verbindung mit § 2 Absatz 8 des Einkommensteuergesetzes die Voraussetzungen des Satzes 1 erfüllt sind.</w:t>
      </w:r>
    </w:p>
    <w:p>
      <w:r>
        <w:rPr>
          <w:color w:val="555555"/>
          <w:sz w:val="17"/>
        </w:rPr>
        <w:t xml:space="preserve">Zitiervorschlag: § 3 WoPG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https://recht.nulegal.eu/gesetze/WoPG/3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