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2a WoPG — Einkommensgrenze</w:t>
      </w:r>
    </w:p>
    <w:p>
      <w:r>
        <w:rPr>
          <w:color w:val="555555"/>
          <w:sz w:val="18"/>
        </w:rPr>
        <w:t xml:space="preserve">Wohnungsbau-Prämiengesetz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Die Einkommensgrenze beträgt 35 000 Euro, bei Ehegatten (§ 3 Abs. 3) 70 000 Euro. Maßgebend ist das zu versteuernde Einkommen (§ 2 Absatz 5 des Einkommensteuergesetzes) des Sparjahrs (§ 4 Abs. 1). Bei Ehegatten ist das zu versteuernde Einkommen maßgebend, das sich bei einer Zusammenveranlagung nach § 26b des Einkommensteuergesetzes ergeben hat oder, falls eine Veranlagung nicht durchgeführt worden ist, ergeben würde.</w:t>
      </w:r>
    </w:p>
    <w:p>
      <w:r>
        <w:rPr>
          <w:color w:val="555555"/>
          <w:sz w:val="17"/>
        </w:rPr>
        <w:t xml:space="preserve">Zitiervorschlag: § 2a WoPG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https://recht.nulegal.eu/gesetze/WoPG/2a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