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WoPG — Prämienbegünstigte Aufwendungen</w:t>
      </w:r>
    </w:p>
    <w:p>
      <w:r>
        <w:rPr>
          <w:color w:val="555555"/>
          <w:sz w:val="18"/>
        </w:rPr>
        <w:t xml:space="preserve">Wohnungsbau-Prämiengesetz</w:t>
      </w:r>
    </w:p>
    <w:p>
      <w:r>
        <w:rPr>
          <w:color w:val="555555"/>
          <w:sz w:val="18"/>
        </w:rPr>
        <w:t xml:space="preserve">Stand: 17.12.2019 (konsolidierte Textfassung, kein amtliches Inkrafttretensdatum)</w:t>
      </w:r>
    </w:p>
    <w:p>
      <w:r>
        <w:t xml:space="preserve">(1) Als Aufwendungen zur Förderung des Wohnungsbaus im Sinne des § 1 gelten</w:t>
      </w:r>
    </w:p>
    <w:p>
      <w:pPr>
        <w:ind w:left="420"/>
      </w:pPr>
      <w:r>
        <w:t xml:space="preserve">1. Beiträge an Bausparkassen zur Erlangung von Baudarlehen, soweit die an dieselbe Bausparkasse geleisteten Beiträge im Sparjahr (§ 4 Abs. 1) mindestens 50 Euro betragen. Voraussetzung ist, daß die Bausparkasse ihren Sitz oder ihre Geschäftsleitung in einem Mitgliedstaat der Europäischen Union hat und ihr die Erlaubnis zum Geschäftsbetrieb im Gebiet der Europäischen Union erteilt ist. Bausparkassen sind Kreditinstitute, deren Geschäftsbetrieb darauf gerichtet ist, Bauspareinlagen entgegenzunehmen und aus den angesammelten Beträgen den Bausparern nach einem auf gleichmäßige Zuteilungsfolge gerichteten Verfahren Baudarlehen für wohnungswirtschaftliche Maßnahmen zu gewähren. Werden Beiträge an Bausparkassen zugunsten eines zertifizierten Altersvorsorgevertrages zur Erlangung eines Bauspardarlehens in einem Sparjahr (§ 4 Abs. 1) vom Anbieter den Altersvorsorgebeiträgen nach § 82 des Einkommensteuergesetzes zugeordnet, handelt es sich bei allen Beiträgen zu diesem Vertrag innerhalb dieses Sparjahres bis zu dem in § 10a Absatz 1 des Einkommensteuergesetzes genannten Höchstbetrag um Altersvorsorgebeiträge und nicht um prämienbegünstigte Aufwendungen im Sinne der Absätze 2 und 3;</w:t>
      </w:r>
    </w:p>
    <w:p>
      <w:pPr>
        <w:ind w:left="420"/>
      </w:pPr>
      <w:r>
        <w:t xml:space="preserve">2. Aufwendungen für den ersten Erwerb von Anteilen an Bau- und Wohnungsgenossenschaften;</w:t>
      </w:r>
    </w:p>
    <w:p>
      <w:pPr>
        <w:ind w:left="420"/>
      </w:pPr>
      <w:r>
        <w:t xml:space="preserve">3. Beiträge auf Grund von Sparverträgen, die auf die Dauer von drei bis sechs Jahren als allgemeine Sparverträge oder als Sparverträge mit festgelegten Sparraten mit einem Kreditinstitut abgeschlossen werden, wenn die eingezahlten Sparbeiträge und die Prämien zum Bau oder Erwerb selbst genutzten Wohneigentums oder zum Erwerb eines eigentumsähnlichen Dauerwohnrechts verwendet werden;</w:t>
      </w:r>
    </w:p>
    <w:p>
      <w:pPr>
        <w:ind w:left="420"/>
      </w:pPr>
      <w:r>
        <w:t xml:space="preserve">4. Beiträge auf Grund von Verträgen, die mit Wohnungs- und Siedlungsunternehmen nach der Art von Sparverträgen mit festgelegten Sparraten auf die Dauer von drei bis acht Jahren mit dem Zweck einer Kapitalansammlung abgeschlossen werden, wenn die eingezahlten Beiträge und die Prämien zum Bau oder Erwerb selbst genutzten Wohneigentums oder zum Erwerb eines eigentumsähnlichen Dauerwohnrechts verwendet werden. Den Verträgen mit Wohnungs- und Siedlungsunternehmen stehen Verträge mit den am 31. Dezember 1989 als Organe der staatlichen Wohnungspolitik anerkannten Unternehmen gleich, soweit sie die Voraussetzungen nach Satz 1 erfüllen.</w:t>
      </w:r>
    </w:p>
    <w:p>
      <w:r>
        <w:t xml:space="preserve">(2) Für die Prämienbegünstigung der in Absatz 1 Nr. 1 bezeichneten Aufwendungen ist Voraussetzung, dass</w:t>
      </w:r>
    </w:p>
    <w:p>
      <w:pPr>
        <w:ind w:left="420"/>
      </w:pPr>
      <w:r>
        <w:t xml:space="preserve">1. bei Auszahlung der Bausparsumme oder bei Beleihung der Ansprüche aus dem Vertrag der Bausparer die empfangenen Beträge unverzüglich und unmittelbar zum Wohnungsbau verwendet oder</w:t>
      </w:r>
    </w:p>
    <w:p>
      <w:pPr>
        <w:ind w:left="420"/>
      </w:pPr>
      <w:r>
        <w:t xml:space="preserve">2. im Fall der Abtretung der Erwerber die Bausparsumme oder die auf Grund einer Beleihung empfangenen Beträge unverzüglich und unmittelbar zum Wohnungsbau für die abtretende Person oder deren Angehörige im Sinne des § 15 der Abgabenordnung verwendet.</w:t>
      </w:r>
    </w:p>
    <w:p>
      <w:r>
        <w:t xml:space="preserve">Unschädlich ist jedoch eine Verfügung ohne Verwendung zum Wohnungsbau, die frühestens sieben Jahre nach dem Vertragsabschluss erfolgt, wenn der Bausparer bei Vertragsabschluss das 25. Lebensjahr noch nicht vollendet hatte. Die Prämienbegünstigung ist in diesen Fällen auf die Berücksichtigung der in Absatz 1 Nr. 1 bezeichneten Aufwendungen der letzten sieben Sparjahre bis zu der Verfügung beschränkt. Jeder Bausparer kann nur einmal über einen vor Vollendung des 25. Lebensjahres abgeschlossenen Bausparvertrag ohne wohnungswirtschaftliche Verwendung prämienunschädlich verfügen. Unschädlich ist auch eine Verfügung ohne Verwendung zum Wohnungsbau, wenn der Bausparer oder sein von ihm nicht dauernd getrennt lebender Ehegatte nach Vertragsabschluss gestorben oder völlig erwerbsunfähig geworden ist oder der Bausparer nach Vertragsabschluss arbeitslos geworden ist und die Arbeitslosigkeit mindestens ein Jahr lang ununterbrochen bestanden hat und im Zeitpunkt der Verfügung noch besteht. Die Prämienbegünstigung ist in diesen Fällen auf die Berücksichtigung der in Absatz 1 Nr. 1 bezeichneten Aufwendungen der letzten sieben Sparjahre bis zum Eintritt des Ereignisses beschränkt. Die Vereinbarung über die Erhöhung der Bausparsumme ist als selbständiger Vertrag zu behandeln. Als Wohnungsbau im Sinne der Nummern 1 und 2 gelten auch bauliche Maßnahmen des Mieters zur Modernisierung seiner Wohnung. Dies gilt ebenfalls für den ersten Erwerb von Anteilen an Bau- und Wohnungsgenossenschaften im Sinne des Absatzes 1 Nr. 2 und den Erwerb von Rechten zur dauernden Selbstnutzung von Wohnraum in Alten-, Altenpflege- und Behinderteneinrichtungen oder -anlagen. Sofern nichts anderes bestimmt ist, setzt die Unschädlichkeit weiter voraus, dass die empfangenen Beträge nur zum Wohnungsbau in einem Mitgliedstaat der Europäischen Union oder in einem Staat eingesetzt werden, auf den das Abkommen über den Europäischen Wirtschaftsraum anwendbar ist.</w:t>
      </w:r>
    </w:p>
    <w:p>
      <w:r>
        <w:t xml:space="preserve">(3) Für vor dem 1. Januar 2009 abgeschlossene Verträge, für die bis zum 31. Dezember 2008 mindestens ein Beitrag in Höhe der Regelsparrate entrichtet wurde, ist Voraussetzung für die Prämienbegünstigung der in Absatz 1 Nr. 1 bezeichneten Aufwendungen, dass vor Ablauf von sieben Jahren seit Vertragsabschluss weder die Bausparsumme ganz oder zum Teil ausgezahlt noch geleistete Beiträge ganz oder zum Teil zurückgezahlt oder Ansprüche aus dem Bausparvertrag abgetreten oder beliehen werden. Unschädlich ist jedoch die vorzeitige Verfügung, wenn</w:t>
      </w:r>
    </w:p>
    <w:p>
      <w:pPr>
        <w:ind w:left="420"/>
      </w:pPr>
      <w:r>
        <w:t xml:space="preserve">1. die Bausparsumme ausgezahlt oder die Ansprüche aus dem Vertrag beliehen werden und der Bausparer die empfangenen Beträge unverzüglich und unmittelbar zum Wohnungsbau verwendet,</w:t>
      </w:r>
    </w:p>
    <w:p>
      <w:pPr>
        <w:ind w:left="420"/>
      </w:pPr>
      <w:r>
        <w:t xml:space="preserve">2. im Fall der Abtretung der Erwerber die Bausparsumme oder die auf Grund einer Beleihung empfangenen Beträge unverzüglich und unmittelbar zum Wohnungsbau für die abtretende Person oder deren Angehörige im Sinne des § 15 der Abgabenordnung verwendet,</w:t>
      </w:r>
    </w:p>
    <w:p>
      <w:pPr>
        <w:ind w:left="420"/>
      </w:pPr>
      <w:r>
        <w:t xml:space="preserve">3. der Bausparer oder sein von ihm nicht dauernd getrennt lebender Ehegatte nach Vertragsabschluss gestorben oder völlig erwerbsunfähig geworden ist oder</w:t>
      </w:r>
    </w:p>
    <w:p>
      <w:pPr>
        <w:ind w:left="420"/>
      </w:pPr>
      <w:r>
        <w:t xml:space="preserve">4. der Bausparer nach Vertragsabschluss arbeitslos geworden ist und die Arbeitslosigkeit mindestens ein Jahr lang ununterbrochen bestanden hat und im Zeitpunkt der vorzeitigen Verfügung noch besteht.</w:t>
      </w:r>
    </w:p>
    <w:p>
      <w:r>
        <w:t xml:space="preserve">Absatz 2 Satz 7 bis 10 gilt sinngemäß.</w:t>
      </w:r>
    </w:p>
    <w:p>
      <w:r>
        <w:rPr>
          <w:color w:val="555555"/>
          <w:sz w:val="17"/>
        </w:rPr>
        <w:t xml:space="preserve">Zitiervorschlag: § 2 WoPG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