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WoPG — Prämienberechtigte</w:t>
      </w:r>
    </w:p>
    <w:p>
      <w:r>
        <w:rPr>
          <w:color w:val="555555"/>
          <w:sz w:val="18"/>
        </w:rPr>
        <w:t xml:space="preserve">Wohnungsbau-Prämiengesetz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Unbeschränkt einkommensteuerpflichtige Personen im Sinne des § 1 Absatz 1, 2 oder 3 des Einkommensteuergesetzes, die das 16. Lebensjahr vollendet haben oder Vollwaisen sind, können für Aufwendungen zur Förderung des Wohnungsbaus eine Prämie erhalten. Voraussetzung ist, daß</w:t>
      </w:r>
    </w:p>
    <w:p>
      <w:pPr>
        <w:ind w:left="420"/>
      </w:pPr>
      <w:r>
        <w:t xml:space="preserve">1. die Aufwendungen nicht vermögenswirksame Leistungen darstellen, für die Anspruch auf Arbeitnehmer-Sparzulage nach § 13 des Fünften Vermögensbildungsgesetzes besteht, und</w:t>
      </w:r>
    </w:p>
    <w:p>
      <w:pPr>
        <w:ind w:left="420"/>
      </w:pPr>
      <w:r>
        <w:t xml:space="preserve">2. das maßgebende Einkommen des Prämienberechtigten die Einkommensgrenze (§ 2a) nicht überschritten hat.</w:t>
      </w:r>
    </w:p>
    <w:p>
      <w:r>
        <w:rPr>
          <w:color w:val="555555"/>
          <w:sz w:val="17"/>
        </w:rPr>
        <w:t xml:space="preserve">Zitiervorschlag: § 1 WoPG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https://recht.nulegal.eu/gesetze/WoPG/1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