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WoPDV — Unterbrechung von Sparverträgen mit festgelegten Sparraten</w:t>
      </w:r>
    </w:p>
    <w:p>
      <w:r>
        <w:rPr>
          <w:color w:val="555555"/>
          <w:sz w:val="18"/>
        </w:rPr>
        <w:t xml:space="preserve">Verordnung zur Durchführung des Wohnungsbau-Prämiengesetzes</w:t>
      </w:r>
    </w:p>
    <w:p>
      <w:r>
        <w:rPr>
          <w:color w:val="555555"/>
          <w:sz w:val="18"/>
        </w:rPr>
        <w:t xml:space="preserve">Stand: 10.06.2019 (konsolidierte Textfassung, kein amtliches Inkrafttretensdatum)</w:t>
      </w:r>
    </w:p>
    <w:p>
      <w:r>
        <w:t xml:space="preserve">(1) Sparraten, die nicht rechtzeitig geleistet worden sind, können innerhalb eines halben Jahres nach ihrer Fälligkeit, spätestens bis zum 15. Januar des folgenden Kalenderjahrs, nachgeholt werden; die im folgenden Kalenderjahr nachgeholten Sparraten gelten als Einzahlungen des Kalenderjahrs der Fälligkeit. Innerhalb des letzten halben Jahres vor Ablauf der Festlegungsfrist ist eine Nachholung ausgeschlossen.</w:t>
      </w:r>
    </w:p>
    <w:p>
      <w:r>
        <w:t xml:space="preserve">(2) Der Vertrag ist in vollem Umfang unterbrochen, wenn eine Sparrate nicht spätestens vor Ablauf der in Absatz 1 bezeichneten Nachholfrist eingezahlt worden ist oder wenn Einzahlungen zurückgezahlt werden; das gleiche gilt, wenn Ansprüche aus dem Vertrag abgetreten werden, es sei denn, der Abtretungsempfänger ist ein Angehöriger (§ 15 der Abgabenordnung) oder die im Vertrag bezeichnete andere Person. Der Vertrag ist teilweise unterbrochen, wenn eine Sparrate in geringerer als der vereinbarten Höhe geleistet und der Unterschiedsbetrag nicht innerhalb der in Absatz 1 bezeichneten Frist nachgeholt worden ist.</w:t>
      </w:r>
    </w:p>
    <w:p>
      <w:r>
        <w:t xml:space="preserve">(3) Ist der Vertrag in vollem Umfang unterbrochen (Absatz 2 Satz 1), so sind spätere Einzahlungen nicht mehr prämienbegünstigt. Liegt eine teilweise Unterbrechung (Absatz 2 Satz 2) vor, so sind spätere Einzahlungen nur in Höhe des Teils der Sparraten prämienbegünstigt, der ununterbrochen in gleichbleibender Höhe geleistet worden ist. Dieser Betrag ist auch maßgebend für die zusätzlichen Einzahlungen, die nach § 6 Abs. 3 Nr. 1 erbracht werden können.</w:t>
      </w:r>
    </w:p>
    <w:p>
      <w:r>
        <w:rPr>
          <w:color w:val="555555"/>
          <w:sz w:val="17"/>
        </w:rPr>
        <w:t xml:space="preserve">Zitiervorschlag: § 8 WoPDV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https://recht.nulegal.eu/gesetze/WoPDV/8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