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WoPDV — Rückzahlungsfrist bei Sparverträgen mit festgelegten Sparraten</w:t>
      </w:r>
    </w:p>
    <w:p>
      <w:r>
        <w:rPr>
          <w:color w:val="555555"/>
          <w:sz w:val="18"/>
        </w:rPr>
        <w:t xml:space="preserve">Verordnung zur Durchführung des Wohnungsbau-Prämiengesetzes</w:t>
      </w:r>
    </w:p>
    <w:p>
      <w:r>
        <w:rPr>
          <w:color w:val="555555"/>
          <w:sz w:val="18"/>
        </w:rPr>
        <w:t xml:space="preserve">Stand: 10.06.2019 (konsolidierte Textfassung, kein amtliches Inkrafttretensdatum)</w:t>
      </w:r>
    </w:p>
    <w:p>
      <w:r>
        <w:t xml:space="preserve">Die auf Grund eines Sparvertrags mit festgelegten Sparraten eingezahlten Sparbeiträge dürfen ein Jahr nach dem Tag der letzten Einzahlung, jedoch nicht vor Ablauf eines Jahres nach dem letzten regelmäßigen Fälligkeitstag, zurückgezahlt werden.</w:t>
      </w:r>
    </w:p>
    <w:p>
      <w:r>
        <w:rPr>
          <w:color w:val="555555"/>
          <w:sz w:val="17"/>
        </w:rPr>
        <w:t xml:space="preserve">Zitiervorschlag: § 7 WoPDV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https://recht.nulegal.eu/gesetze/WoPDV/7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