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WoPDV — Sparverträge mit festgelegten Sparraten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Sparverträge mit festgelegten Sparraten im Sinne des § 2 Abs. 1 Nr. 3 des Gesetzes sind Verträge mit einem der in § 4 Abs. 1 bezeichneten Unternehmen, in denen sich der Prämienberechtigte verpflichtet, für drei bis sechs Jahre laufend, jedoch mindestens vierteljährlich, der Höhe nach gleichbleibende Sparraten einzuzahlen und die eingezahlten Sparbeiträge sowie die Prämien zu dem in § 2 Abs. 1 Nr. 3 des Gesetzes bezeichneten Zweck zu verwenden. Die Verträge können zugunsten dritter Personen abgeschlossen werden.</w:t>
      </w:r>
    </w:p>
    <w:p>
      <w:r>
        <w:t xml:space="preserve">(2) Die Verlängerung der Einzahlungsverpflichtung um jeweils ein Jahr oder um mehrere Jahre bis zu einer Gesamtdauer der Einzahlungen von sechs Jahren kann zwischen dem Prämienberechtigten und dem Unternehmen vereinbart werden. Die Vereinbarung über die Verlängerung ist spätestens im Zeitpunkt der letzten nach dem Vertrag zu leistenden Einzahlung zu treffen.</w:t>
      </w:r>
    </w:p>
    <w:p>
      <w:r>
        <w:t xml:space="preserve">(3) Den in Absatz 1 bezeichneten Einzahlungen werden gleichgestellt</w:t>
      </w:r>
    </w:p>
    <w:p>
      <w:pPr>
        <w:ind w:left="420"/>
      </w:pPr>
      <w:r>
        <w:t xml:space="preserve">1. zusätzliche Einzahlungen, soweit sie in einem Kalenderjahr nicht höher sind als der Jahresbetrag der in Absatz 1 bezeichneten Einzahlungen, sowie</w:t>
      </w:r>
    </w:p>
    <w:p>
      <w:pPr>
        <w:ind w:left="420"/>
      </w:pPr>
      <w:r>
        <w:t xml:space="preserve">2. zusätzliche Einzahlungen, die vermögenswirksame Leistungen darstellen, bis zur Höhe des nach dem Fünften Vermögensbildungsgesetz geförderten Betrags.</w:t>
      </w:r>
    </w:p>
    <w:p>
      <w:r>
        <w:rPr>
          <w:color w:val="555555"/>
          <w:sz w:val="17"/>
        </w:rPr>
        <w:t xml:space="preserve">Zitiervorschlag: § 6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