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WoPDV — Allgemeine Sparverträge</w:t>
      </w:r>
    </w:p>
    <w:p>
      <w:r>
        <w:rPr>
          <w:color w:val="555555"/>
          <w:sz w:val="18"/>
        </w:rPr>
        <w:t xml:space="preserve">Verordnung zur Durchführung des Wohnungsbau-Prämiengesetzes</w:t>
      </w:r>
    </w:p>
    <w:p>
      <w:r>
        <w:rPr>
          <w:color w:val="555555"/>
          <w:sz w:val="18"/>
        </w:rPr>
        <w:t xml:space="preserve">Stand: 10.06.2019 (konsolidierte Textfassung, kein amtliches Inkrafttretensdatum)</w:t>
      </w:r>
    </w:p>
    <w:p>
      <w:r>
        <w:t xml:space="preserve">(1) Allgemeine Sparverträge im Sinne des § 2 Abs. 1 Nr. 3 des Gesetzes sind Verträge mit</w:t>
      </w:r>
    </w:p>
    <w:p>
      <w:pPr>
        <w:ind w:left="420"/>
      </w:pPr>
      <w:r>
        <w:t xml:space="preserve">1. einem Kreditinstitut oder</w:t>
      </w:r>
    </w:p>
    <w:p>
      <w:pPr>
        <w:ind w:left="420"/>
      </w:pPr>
      <w:r>
        <w:t xml:space="preserve">2. einem am 31. Dezember 1989 als gemeinnützig anerkannten Wohnungsunternehmen oder einem am 31. Dezember 1989 als Organ der staatlichen Wohnungspolitik anerkannten Unternehmen, wenn diese Unternehmen eigene Spareinrichtungen unterhalten, auf die die Vorschriften des Gesetzes über das Kreditwesen anzuwenden sind,</w:t>
      </w:r>
    </w:p>
    <w:p>
      <w:r>
        <w:t xml:space="preserve">in denen der Prämienberechtigte sich verpflichtet, die eingezahlten Sparbeiträge auf drei bis sechs Jahre festzulegen und die eingezahlten Sparbeiträge sowie die Prämien zu dem in § 2 Abs. 1 Nr. 3 des Gesetzes bezeichneten Zweck zu verwenden. Die Verträge können zugunsten dritter Personen abgeschlossen werden.</w:t>
      </w:r>
    </w:p>
    <w:p>
      <w:r>
        <w:t xml:space="preserve">(2) Die Verlängerung der Festlegung um jeweils ein Jahr oder um mehrere Jahre bis zu einer Gesamtdauer der Festlegung von sechs Jahren kann zwischen dem Prämienberechtigten und dem Unternehmen vereinbart werden. Die Vereinbarung über die Verlängerung ist vor Ablauf der Festlegungsfrist zu treffen.</w:t>
      </w:r>
    </w:p>
    <w:p>
      <w:r>
        <w:rPr>
          <w:color w:val="555555"/>
          <w:sz w:val="17"/>
        </w:rPr>
        <w:t xml:space="preserve">Zitiervorschlag: § 4 WoPDV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https://recht.nulegal.eu/gesetze/WoPDV/4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