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WoPDV — Anwendungsvorschrift</w:t>
      </w:r>
    </w:p>
    <w:p>
      <w:r>
        <w:rPr>
          <w:color w:val="555555"/>
          <w:sz w:val="18"/>
        </w:rPr>
        <w:t xml:space="preserve">Verordnung zur Durchführung des Wohnungsbau-Prämiengesetzes</w:t>
      </w:r>
    </w:p>
    <w:p>
      <w:r>
        <w:rPr>
          <w:color w:val="555555"/>
          <w:sz w:val="18"/>
        </w:rPr>
        <w:t xml:space="preserve">Stand: 17.07.2020 (konsolidierte Textfassung, kein amtliches Inkrafttretensdatum)</w:t>
      </w:r>
    </w:p>
    <w:p>
      <w:r>
        <w:t xml:space="preserve">Diese Verordnung in der Fassung des Artikels 6 des Gesetzes vom 29. Juli 2008 (BGBl. I S. 1509) ist erstmals für das Sparjahr 2009 anzuwenden. § 3 in der Fassung der Verordnung vom 25. Juni 2020 (BGBl. I S. 1495) ist anzuwenden, soweit der Erwerb von Anteilen an Bau- und Wohnungsgenossenschaften nach dem 31. Dezember 2020 erfolgt.</w:t>
      </w:r>
    </w:p>
    <w:p>
      <w:r>
        <w:rPr>
          <w:color w:val="555555"/>
          <w:sz w:val="17"/>
        </w:rPr>
        <w:t xml:space="preserve">Zitiervorschlag: § 20 WoPDV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https://recht.nulegal.eu/gesetze/WoPDV/20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