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WoPDV — Wegfall des Prämienanspruchs und Rückzahlung der Prämien</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(1) Der Prämienanspruch entfällt, soweit bei Bausparverträgen</w:t>
      </w:r>
    </w:p>
    <w:p>
      <w:pPr>
        <w:ind w:left="420"/>
      </w:pPr>
      <w:r>
        <w:t xml:space="preserve">1. prämienschädlich verfügt wird, oder</w:t>
      </w:r>
    </w:p>
    <w:p>
      <w:pPr>
        <w:ind w:left="420"/>
      </w:pPr>
      <w:r>
        <w:t xml:space="preserve">2. die für die Zusatzförderung nach § 10 Abs. 2 des Gesetzes erforderlichen Voraussetzungen nicht erfüllt werden.</w:t>
      </w:r>
    </w:p>
    <w:p>
      <w:r>
        <w:t xml:space="preserve">Bereits ausgezahlte Prämien sind an die Bausparkasse oder an das zuständige Finanzamt zurückzuzahlen. Bei einer Teilrückzahlung von Beiträgen kann der Bausparer bestimmen, welche Beiträge als zurückgezahlt gelten sollen. Das gilt auch, wenn die Bausparsumme zum Teil ausgezahlt oder die ausgezahlte Bausparsumme teilweise schädlich verwendet wird oder Ansprüche aus dem Vertrag zum Teil abgetreten oder beliehen werden.</w:t>
      </w:r>
    </w:p>
    <w:p>
      <w:r>
        <w:t xml:space="preserve">(2) Absatz 1 ist nicht anzuwenden, wenn unschädlich nach § 2 Abs. 2 Satz 2 bis 6 sowie Abs. 3 Satz 2 und 3 des Gesetzes verfügt worden ist. Beabsichtigt im Fall des § 2 Abs. 2 Satz 1 Nr. 2 oder Abs. 3 Satz 2 Nr. 2 des Gesetzes der Abtretungsempfänger im Zeitpunkt der Abtretung der Ansprüche aus dem Bausparvertrag eine unverzügliche und unmittelbare Verwendung zum Wohnungsbau für den Abtretenden oder dessen Angehörige (§ 15 der Abgabenordnung), so ist die Prämie dem Abtretenden auszuzahlen oder die Rückforderung bereits ausgezahlter Prämien auszusetzen, wenn der Abtretende eine Erklärung des Abtretungsempfängers über die Verwendungsabsicht beibringt.</w:t>
      </w:r>
    </w:p>
    <w:p>
      <w:r>
        <w:rPr>
          <w:color w:val="555555"/>
          <w:sz w:val="17"/>
        </w:rPr>
        <w:t xml:space="preserve">Zitiervorschlag: § 2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