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WoPDV — Änderung des zu versteuernden Einkommens</w:t>
      </w:r>
    </w:p>
    <w:p>
      <w:r>
        <w:rPr>
          <w:color w:val="555555"/>
          <w:sz w:val="18"/>
        </w:rPr>
        <w:t xml:space="preserve">Verordnung zur Durchführung des Wohnungsbau-Prämiengesetzes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im Besteuerungsverfahren die Entscheidung über die Höhe des zu versteuernden Einkommens nachträglich in der Weise geändert, daß dadurch</w:t>
      </w:r>
    </w:p>
    <w:p>
      <w:pPr>
        <w:ind w:left="420"/>
      </w:pPr>
      <w:r>
        <w:t xml:space="preserve">1. die Einkommensgrenze (§ 2a des Gesetzes) unterschritten wird, so kann der Prämienberechtigte die Prämie innerhalb eines Jahres nach Bekanntgabe der Änderung erstmalig oder erneut beantragen;</w:t>
      </w:r>
    </w:p>
    <w:p>
      <w:pPr>
        <w:ind w:left="420"/>
      </w:pPr>
      <w:r>
        <w:t xml:space="preserve">2. die Einkommensgrenze überschritten wird, so ist die Prämie neu zu ermitteln oder festzusetzen; ausgezahlte Prämien sind zurückzufordern.</w:t>
      </w:r>
    </w:p>
    <w:p>
      <w:r>
        <w:t xml:space="preserve">(2) Besteht oder entsteht für Aufwendungen, die vermögenswirksame Leistungen darstellen,</w:t>
      </w:r>
    </w:p>
    <w:p>
      <w:pPr>
        <w:ind w:left="420"/>
      </w:pPr>
      <w:r>
        <w:t xml:space="preserve">1. kein Anspruch auf Arbeitnehmer-Sparzulage und liegen dennoch die Voraussetzungen für den Prämienanspruch vor, so kann der Prämienberechtigte die Prämie innerhalb eines Jahres nach Bekanntgabe des Bescheids über die Arbeitnehmer-Sparzulage erstmalig oder erneut beantragen;</w:t>
      </w:r>
    </w:p>
    <w:p>
      <w:pPr>
        <w:ind w:left="420"/>
      </w:pPr>
      <w:r>
        <w:t xml:space="preserve">2. nachträglich ein Anspruch auf Arbeitnehmer-Sparzulage und entfällt damit der Prämienanspruch, so ist die Prämie neu zu ermitteln oder festzusetzen; ausgezahlte Prämien sind zurückzufordern.</w:t>
      </w:r>
    </w:p>
    <w:p>
      <w:r>
        <w:rPr>
          <w:color w:val="555555"/>
          <w:sz w:val="17"/>
        </w:rPr>
        <w:t xml:space="preserve">Zitiervorschlag: § 19 WoPDV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https://recht.nulegal.eu/gesetze/WoPDV/19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