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WoPDV — Inhalt der Verträge</w:t>
      </w:r>
    </w:p>
    <w:p>
      <w:r>
        <w:rPr>
          <w:color w:val="555555"/>
          <w:sz w:val="18"/>
        </w:rPr>
        <w:t xml:space="preserve">Verordnung zur Durchführung des Wohnungsbau-Prämiengesetzes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Verträge im Sinne des § 2 Abs. 1 Nr. 4 des Gesetzes sind Verträge mit einem Wohnungs- oder Siedlungsunternehmen (§ 14) oder einem am 31. Dezember 1989 anerkannten Organ der staatlichen Wohnungspolitik (§ 2 Abs. 1 Nr. 4 Satz 2 des Gesetzes), in denen sich der Prämienberechtigte verpflichtet,</w:t>
      </w:r>
    </w:p>
    <w:p>
      <w:pPr>
        <w:ind w:left="420"/>
      </w:pPr>
      <w:r>
        <w:t xml:space="preserve">1. einen bestimmten Kapitalbetrag in der Weise anzusammeln, daß er für drei bis acht Jahre laufend, jedoch mindestens vierteljährlich, der Höhe nach gleichbleibende Sparraten bei dem Wohnungs- oder Siedlungsunternehmen oder dem am 31. Dezember 1989 anerkannten Organ der staatlichen Wohnungspolitik einzahlt, und</w:t>
      </w:r>
    </w:p>
    <w:p>
      <w:pPr>
        <w:ind w:left="420"/>
      </w:pPr>
      <w:r>
        <w:t xml:space="preserve">2. den angesammelten Betrag und die Prämien zu dem in § 2 Abs. 1 Nr. 4 des Gesetzes bezeichneten Zweck zu verwenden (§ 16),</w:t>
      </w:r>
    </w:p>
    <w:p>
      <w:r>
        <w:t xml:space="preserve">und in denen sich das Wohnungs- oder Siedlungsunternehmen oder das am 31. Dezember 1989 anerkannte Organ der staatlichen Wohnungspolitik verpflichtet, die nach dem Vertrag vorgesehene Leistung (§ 16) zu erbringen. § 6 Abs. 2 gilt entsprechend. Die Verträge können zugunsten dritter Personen abgeschlossen werden.</w:t>
      </w:r>
    </w:p>
    <w:p>
      <w:r>
        <w:t xml:space="preserve">(2) Den in Absatz 1 bezeichneten Einzahlungen werden gleichgestellt</w:t>
      </w:r>
    </w:p>
    <w:p>
      <w:pPr>
        <w:ind w:left="420"/>
      </w:pPr>
      <w:r>
        <w:t xml:space="preserve">1. zusätzliche Einzahlungen, soweit sie in einem Kalenderjahr nicht höher sind als der Jahresbetrag der in Absatz 1 bezeichneten Einzahlungen, sowie</w:t>
      </w:r>
    </w:p>
    <w:p>
      <w:pPr>
        <w:ind w:left="420"/>
      </w:pPr>
      <w:r>
        <w:t xml:space="preserve">2. zusätzliche Einzahlungen, die vermögenswirksame Leistungen darstellen, bis zur Höhe des nach dem Fünften Vermögensbildungsgesetz geförderten Betrags.</w:t>
      </w:r>
    </w:p>
    <w:p>
      <w:r>
        <w:rPr>
          <w:color w:val="555555"/>
          <w:sz w:val="17"/>
        </w:rPr>
        <w:t xml:space="preserve">Zitiervorschlag: § 13 WoPDV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