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WoPDV — Anzeigepflicht</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Die in § 4 Abs. 1 bezeichneten Unternehmen haben, außer im Fall des Todes des Prämienberechtigten oder der in dem Vertrag bezeichneten anderen Person, dem für ihre Veranlagung oder dem für die Veranlagung des Prämienberechtigten zuständigen Finanzamt unverzüglich die Fälle mitzuteilen, in denen</w:t>
      </w:r>
    </w:p>
    <w:p>
      <w:pPr>
        <w:ind w:left="420"/>
      </w:pPr>
      <w:r>
        <w:t xml:space="preserve">1. Sparbeiträge vor Ablauf der in den §§ 5 und 7 bezeichneten Fristen zurückgezahlt werden,</w:t>
      </w:r>
    </w:p>
    <w:p>
      <w:pPr>
        <w:ind w:left="420"/>
      </w:pPr>
      <w:r>
        <w:t xml:space="preserve">2. Sparbeiträge und Prämien nicht oder nicht innerhalb der Fristen des § 10 zu dem dort bezeichneten Zweck verwendet werden,</w:t>
      </w:r>
    </w:p>
    <w:p>
      <w:pPr>
        <w:ind w:left="420"/>
      </w:pPr>
      <w:r>
        <w:t xml:space="preserve">3. Sparverträge auf ein anderes Unternehmen übertragen oder in Verträge mit Wohnungs- und Siedlungsunternehmen oder mit am 31. Dezember 1989 anerkannten Organen der staatlichen Wohnungspolitik umgewandelt werden (§ 12 Abs. 1).</w:t>
      </w:r>
    </w:p>
    <w:p>
      <w:r>
        <w:t xml:space="preserve">Die Anzeige kann auch von der Niederlassung eines Unternehmens an das Finanzamt gerichtet werden, in dessen Bezirk sich die Niederlassung befindet.</w:t>
      </w:r>
    </w:p>
    <w:p>
      <w:r>
        <w:rPr>
          <w:color w:val="555555"/>
          <w:sz w:val="17"/>
        </w:rPr>
        <w:t xml:space="preserve">Zitiervorschlag: § 11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