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WoImmoDarlRV — Begriffsbestimmungen</w:t>
      </w:r>
    </w:p>
    <w:p>
      <w:r>
        <w:rPr>
          <w:color w:val="555555"/>
          <w:sz w:val="18"/>
        </w:rPr>
        <w:t xml:space="preserve">Wohnimmobiliendarlehensrisikoverordnung</w:t>
      </w:r>
    </w:p>
    <w:p>
      <w:r>
        <w:rPr>
          <w:color w:val="555555"/>
          <w:sz w:val="18"/>
        </w:rPr>
        <w:t xml:space="preserve">Stand: 07.02.2021 (konsolidierte Textfassung, kein amtliches Inkrafttretensdatum)</w:t>
      </w:r>
    </w:p>
    <w:p>
      <w:r>
        <w:t xml:space="preserve">Im Sinne dieser Verordnung ist oder sind:</w:t>
      </w:r>
    </w:p>
    <w:p>
      <w:pPr>
        <w:ind w:left="420"/>
      </w:pPr>
      <w:r>
        <w:t xml:space="preserve">1. gewerbliche Darlehensgeber</w:t>
      </w:r>
    </w:p>
    <w:p>
      <w:pPr>
        <w:ind w:left="780"/>
      </w:pPr>
      <w:r>
        <w:t xml:space="preserve">a) Kreditinstitute im Sinne des § 1 Absatz 1 des Kreditwesengesetzes,</w:t>
      </w:r>
    </w:p>
    <w:p>
      <w:pPr>
        <w:ind w:left="780"/>
      </w:pPr>
      <w:r>
        <w:t xml:space="preserve">b) Zweigniederlassungen von Unternehmen mit Sitz in einem anderen Staat des Europäischen Wirtschaftsraums, auf die die Regelung des § 48u des Kreditwesengesetzes nach § 53b Absatz 3 Nummer 8 des Kreditwesengesetzes entsprechend anzuwenden ist,</w:t>
      </w:r>
    </w:p>
    <w:p>
      <w:pPr>
        <w:ind w:left="780"/>
      </w:pPr>
      <w:r>
        <w:t xml:space="preserve">c) Kapitalverwaltungsgesellschaften im Sinne des § 17 Absatz 1 Satz 1 des Kapitalanlagegesetzbuches, die für Rechnung eines Alternativen Investmentfonds (AIF) Gelddarlehen gewähren sowie</w:t>
      </w:r>
    </w:p>
    <w:p>
      <w:pPr>
        <w:ind w:left="780"/>
      </w:pPr>
      <w:r>
        <w:t xml:space="preserve">d) Unternehmen im Sinne des § 1 Absatz 1 des Versicherungsaufsichtsgesetzes;</w:t>
      </w:r>
    </w:p>
    <w:p>
      <w:pPr>
        <w:ind w:left="420"/>
      </w:pPr>
      <w:r>
        <w:t xml:space="preserve">2. Wohnimmobilie eine im Inland belegene Wohnimmobilie im Sinne des Artikels 4 Absatz 1 Nummer 75 der Verordnung (EU) Nr. 575/2013 des Europäischen Parlaments und des Rates vom 26. Juni 2013 über Aufsichtsanforderungen an Kreditinstitute und Wertpapierfirmen und zur Änderung der Verordnung (EU) Nr. 648/2012 (ABl. L 176 vom 27.6.2013, S. 1; L 208 vom 2.8.2013, S. 68; L 321 vom 30.11.2013, S. 6; L 193 vom 21.7.2015, S. 166; L 20 vom 25.1.2017, S. 3; L 13 vom 17.1.2020, S. 58; L 335 vom 13.10.2020, S. 20), die zuletzt durch die Verordnung (EU) 2020/873 (ABl. L 204 vom 26.6.2020, S. 4) geändert worden ist;</w:t>
      </w:r>
    </w:p>
    <w:p>
      <w:pPr>
        <w:ind w:left="420"/>
      </w:pPr>
      <w:r>
        <w:t xml:space="preserve">3. Darlehen sämtliche entgeltlichen oder unentgeltlichen Darlehensverträge oder Finanzierungshilfen;</w:t>
      </w:r>
    </w:p>
    <w:p>
      <w:pPr>
        <w:ind w:left="420"/>
      </w:pPr>
      <w:r>
        <w:t xml:space="preserve">4. Darlehen zum Bau oder Erwerb von Wohnimmobilien Darlehen, die bestimmt sind</w:t>
      </w:r>
    </w:p>
    <w:p>
      <w:pPr>
        <w:ind w:left="780"/>
      </w:pPr>
      <w:r>
        <w:t xml:space="preserve">a) für den Erwerb oder für die Erhaltung von Eigentumsrechten oder dinglichen Nutzungsrechten</w:t>
      </w:r>
    </w:p>
    <w:p>
      <w:pPr>
        <w:ind w:left="1140"/>
      </w:pPr>
      <w:r>
        <w:t xml:space="preserve">aa) an einem zu Wohnzwecken bebaubaren Grundstück oder an einem mit einer Wohnimmobilie oder mehreren Wohnimmobilien zu bebauenden oder bebauten Grundstücken oder</w:t>
      </w:r>
    </w:p>
    <w:p>
      <w:pPr>
        <w:ind w:left="1140"/>
      </w:pPr>
      <w:r>
        <w:t xml:space="preserve">bb) an einer oder mehreren bestehenden oder zu errichtenden oder umzubauenden oder zu sanierenden Wohnimmobilien oder</w:t>
      </w:r>
    </w:p>
    <w:p>
      <w:pPr>
        <w:ind w:left="780"/>
      </w:pPr>
      <w:r>
        <w:t xml:space="preserve">b) für den Erwerb oder für die Erhaltung von grundstücksgleichen Rechten an einem zu Wohnzwecken bebaubaren Grundstück oder an einem mit einer Wohnimmobilie oder mit mehreren Wohnimmobilien bebauten Grundstück;</w:t>
      </w:r>
    </w:p>
    <w:p>
      <w:pPr>
        <w:ind w:left="420"/>
      </w:pPr>
      <w:r>
        <w:t xml:space="preserve">5. Darlehen zum Aus- und Umbau oder zur Sanierung von Wohnimmobilien im Eigentum des Darlehensnehmers nur solche, die nicht im Zusammenhang mit dem Erwerb des Eigentums an der Wohnimmobilie stehen;</w:t>
      </w:r>
    </w:p>
    <w:p>
      <w:pPr>
        <w:ind w:left="420"/>
      </w:pPr>
      <w:r>
        <w:t xml:space="preserve">6. Darlehen für Maßnahmen, für die eine soziale Wohnraumförderung im Sinne des § 1 Absatz 1 des Wohnraumförderungsgesetzes oder nach entsprechenden landesrechtlichen Regelungen zugesagt ist, solche Darlehen, die der Finanzierung der entsprechenden Maßnahme dienen;</w:t>
      </w:r>
    </w:p>
    <w:p>
      <w:pPr>
        <w:ind w:left="420"/>
      </w:pPr>
      <w:r>
        <w:t xml:space="preserve">7. notleidende Darlehen solche Darlehen, bei denen ein Ausfall des Darlehensschuldners nach Artikel 178 der Verordnung (EU) Nr. 575/2013 gegeben ist;</w:t>
      </w:r>
    </w:p>
    <w:p>
      <w:pPr>
        <w:ind w:left="420"/>
      </w:pPr>
      <w:r>
        <w:t xml:space="preserve">8. Fremdfinanzierungen durch Dritte alle weiteren Finanzierungen, die nicht durch den Darlehensgeber erfolgen, wobei auch ein mit dem Darlehensgeber verbundenes Unternehmen als Dritter anzusehen ist.</w:t>
      </w:r>
    </w:p>
    <w:p>
      <w:r>
        <w:rPr>
          <w:color w:val="555555"/>
          <w:sz w:val="17"/>
        </w:rPr>
        <w:t xml:space="preserve">Zitiervorschlag: § 2 WoImmoDarlRV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https://recht.nulegal.eu/gesetze/WoImmoDarlRV/2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