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WoImmoDarlRV — Inkrafttreten</w:t>
      </w:r>
    </w:p>
    <w:p>
      <w:r>
        <w:rPr>
          <w:color w:val="555555"/>
          <w:sz w:val="18"/>
        </w:rPr>
        <w:t xml:space="preserve">Wohnimmobiliendarlehensrisikoverordnung</w:t>
      </w:r>
    </w:p>
    <w:p>
      <w:r>
        <w:rPr>
          <w:color w:val="555555"/>
          <w:sz w:val="18"/>
        </w:rPr>
        <w:t xml:space="preserve">Stand: 07.02.2021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13 WoImmoDarlRV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https://recht.nulegal.eu/gesetze/WoImmoDarlRV/13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