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WoGV — Gegenstand und Inhalt der Wohngeld-Lastenberechnung</w:t>
      </w:r>
    </w:p>
    <w:p>
      <w:r>
        <w:rPr>
          <w:color w:val="555555"/>
          <w:sz w:val="18"/>
        </w:rPr>
        <w:t xml:space="preserve">Wohngeldverordnung</w:t>
      </w:r>
    </w:p>
    <w:p>
      <w:r>
        <w:rPr>
          <w:color w:val="555555"/>
          <w:sz w:val="18"/>
        </w:rPr>
        <w:t xml:space="preserve">Stand: 10.06.2019 (konsolidierte Textfassung, kein amtliches Inkrafttretensdatum)</w:t>
      </w:r>
    </w:p>
    <w:p>
      <w:r>
        <w:t xml:space="preserve">(1) Als Belastung ist die Belastung zu berücksichtigen, die auf den selbst genutzten Wohnraum entfällt. Selbst genutzter Wohnraum ist der Wohnraum, der von der wohngeldberechtigten Person und den zu berücksichtigenden Haushaltsmitgliedern zu Wohnzwecken benutzt wird.</w:t>
      </w:r>
    </w:p>
    <w:p>
      <w:r>
        <w:t xml:space="preserve">(2) Als Belastung ist zu berücksichtigen:</w:t>
      </w:r>
    </w:p>
    <w:p>
      <w:pPr>
        <w:ind w:left="420"/>
      </w:pPr>
      <w:r>
        <w:t xml:space="preserve">1. bei einer Eigentumswohnung die Belastung für den im Sondereigentum stehenden Wohnraum und den damit verbundenen Miteigentumsanteil an dem gemeinschaftlichen Eigentum,</w:t>
      </w:r>
    </w:p>
    <w:p>
      <w:pPr>
        <w:ind w:left="420"/>
      </w:pPr>
      <w:r>
        <w:t xml:space="preserve">2. bei einer Wohnung in der Rechtsform des eigentumsähnlichen Dauerwohnrechts die Belastung für den Wohnraum und den Teil des Grundstücks, auf den sich das Dauerwohnrecht erstreckt,</w:t>
      </w:r>
    </w:p>
    <w:p>
      <w:pPr>
        <w:ind w:left="420"/>
      </w:pPr>
      <w:r>
        <w:t xml:space="preserve">3. bei einem landwirtschaftlichen Betrieb die Belastung für den Wohnraum.</w:t>
      </w:r>
    </w:p>
    <w:p>
      <w:r>
        <w:t xml:space="preserve">(3) In die Wohngeld-Lastenberechnung sind in den Fällen des § 3 Abs. 2 des Wohngeldgesetzes auch zugehörige Nebengebäude, Anlagen und bauliche Einrichtungen sowie das Grundstück einzubeziehen; dies gilt jedoch nicht bei einem landwirtschaftlichen Betrieb mit Wohnteil. Das Grundstück besteht aus den überbauten und den dazugehörigen Flächen.</w:t>
      </w:r>
    </w:p>
    <w:p>
      <w:r>
        <w:t xml:space="preserve">(4) In der Wohngeld-Lastenberechnung sind die Fremdmittel und die Belastung auszuweisen.</w:t>
      </w:r>
    </w:p>
    <w:p>
      <w:r>
        <w:rPr>
          <w:color w:val="555555"/>
          <w:sz w:val="17"/>
        </w:rPr>
        <w:t xml:space="preserve">Zitiervorschlag: § 9 WoGV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