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WoGV — Nicht feststehende Betriebskosten</w:t>
      </w:r>
    </w:p>
    <w:p>
      <w:r>
        <w:rPr>
          <w:color w:val="555555"/>
          <w:sz w:val="18"/>
        </w:rPr>
        <w:t xml:space="preserve">Wohngeldverordnung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Stehen bei der Entscheidung über den Mietzuschussantrag die Umlagen für Betriebskosten ganz oder teilweise nicht fest, sind Erfahrungswerte als Pauschbeträge anzusetzen.</w:t>
      </w:r>
    </w:p>
    <w:p>
      <w:r>
        <w:rPr>
          <w:color w:val="555555"/>
          <w:sz w:val="17"/>
        </w:rPr>
        <w:t xml:space="preserve">Zitiervorschlag: § 5 WoGV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