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WoGV — Kosten</w:t>
      </w:r>
    </w:p>
    <w:p>
      <w:r>
        <w:rPr>
          <w:color w:val="555555"/>
          <w:sz w:val="18"/>
        </w:rPr>
        <w:t xml:space="preserve">Wohngeldverordnung</w:t>
      </w:r>
    </w:p>
    <w:p>
      <w:r>
        <w:rPr>
          <w:color w:val="555555"/>
          <w:sz w:val="18"/>
        </w:rPr>
        <w:t xml:space="preserve">Stand: 10.06.2019 (konsolidierte Textfassung, kein amtliches Inkrafttretensdatum)</w:t>
      </w:r>
    </w:p>
    <w:p>
      <w:r>
        <w:t xml:space="preserve">(1) Die Länder haben der Datenstelle die notwendigen Kosten für die Durchführung und Vermittlung des automatisierten Datenabgleichs nach § 16 zu erstatten. Diese Kostenerstattung richtet sich in den Fällen des § 17 Absatz 2 Satz 3 nach den Absätzen 2 und 3.</w:t>
      </w:r>
    </w:p>
    <w:p>
      <w:r>
        <w:t xml:space="preserve">(2) Für die Länder, die vor dem 1. Januar 2013 einen automatisierten Datenabgleich unter Vermittlung der Datenstelle durchführen und weiterhin daran teilnehmen, legt die Datenstelle die für das Jahr 2013 zu erstattenden Kosten auf der Grundlage der tatsächlich entstandenen Kosten einheitlich neu fest, wobei jedoch die zu erstattenden Kosten höchstens 3 800 Euro je Land betragen. Die festgelegten Kosten erhöhen sich für jedes weitere Kalenderjahr der Teilnahme am automatisierten Datenabgleich pauschal um 3 Prozent. Die Datenstelle teilt den für die Durchführung des Wohngeldgesetzes zuständigen obersten Landesbehörden die zu erstattenden Kosten mit; die Erstattung ist jeweils am 1. April für das laufende Kalenderjahr fällig und berechtigt zur viermaligen Teilnahme am automatisierten Datenabgleich.</w:t>
      </w:r>
    </w:p>
    <w:p>
      <w:r>
        <w:t xml:space="preserve">(3) Die übrigen Länder haben für das erste Kalenderjahr der Teilnahme eines Landes am automatisierten Datenabgleich pauschal einmalige Kosten in Höhe von 2 700 Euro zuzüglich 950 Euro je Kalendervierteljahr der Teilnahme zu erstatten. Die Erstattung ist am 31. Januar des folgenden Kalenderjahres fällig. Für jedes weitere Kalenderjahr der Teilnahme am automatisierten Datenabgleich sind die Kosten nach Absatz 2 Satz 1 in Verbindung mit Absatz 2 Satz 2 zu erstatten; Absatz 2 Satz 3 gilt entsprechend.</w:t>
      </w:r>
    </w:p>
    <w:p>
      <w:r>
        <w:rPr>
          <w:color w:val="555555"/>
          <w:sz w:val="17"/>
        </w:rPr>
        <w:t xml:space="preserve">Zitiervorschlag: § 22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