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WoGV — Abgleichszeitraum und Übermittlungsverfahren</w:t>
      </w:r>
    </w:p>
    <w:p>
      <w:r>
        <w:rPr>
          <w:color w:val="555555"/>
          <w:sz w:val="18"/>
        </w:rPr>
        <w:t xml:space="preserve">Wohngeldverordnung</w:t>
      </w:r>
    </w:p>
    <w:p>
      <w:r>
        <w:rPr>
          <w:color w:val="555555"/>
          <w:sz w:val="18"/>
        </w:rPr>
        <w:t xml:space="preserve">Stand: 10.01.2020 (konsolidierte Textfassung, kein amtliches Inkrafttretensdatum)</w:t>
      </w:r>
    </w:p>
    <w:p>
      <w:r>
        <w:t xml:space="preserve">(1) Der automatisierte Datenabgleich nach § 33 Absatz 5 in Verbindung mit Absatz 2 Satz 1 des Wohngeldgesetzes wird vierteljährlich für das ihm jeweils vorangegangene Kalendervierteljahr (Abgleichszeitraum) durchgeführt. Abweichend von Satz 1 werden in den Datenabgleich nach § 18 Absatz 2 im dritten Kalendervierteljahr alle zu berücksichtigenden Haushaltsmitglieder einbezogen, die innerhalb der dem Abgleich vorangegangenen zwölf Kalendermonate bei der Berechnung des Wohngeldes berücksichtigt wurden.</w:t>
      </w:r>
    </w:p>
    <w:p>
      <w:r>
        <w:t xml:space="preserve">(2) Die Wohngeldbehörde übermittelt der Datenstelle nach § 33 Absatz 5 in Verbindung mit Absatz 2 Satz 1 Nummer 1, 2, 6 und 7 des Wohngeldgesetzes zwischen dem ersten und dem 15. des auf den Abgleichszeitraum folgenden Monats für jedes im Abgleichszeitraum bei der Berechnung des Wohngeldes berücksichtigte Haushaltsmitglied einen Anfragedatensatz. Der Anfragedatensatz enthält die Wohngeldnummer und die in § 33 Absatz 3 Satz 1 Nummer 1 bis 3, 5 und 6 des Wohngeldgesetzes genannten Daten. Er wird über die zentrale Landesstelle übermittelt, wenn diese für die Erfassung und Weiterübermittlung der Daten an die Datenstelle zuständig ist.</w:t>
      </w:r>
    </w:p>
    <w:p>
      <w:r>
        <w:t xml:space="preserve">(3) Die Datenstelle übermittelt die Anfragedatensätze bis zum Ende des auf den Abgleichszeitraum folgenden Monats an</w:t>
      </w:r>
    </w:p>
    <w:p>
      <w:pPr>
        <w:ind w:left="420"/>
      </w:pPr>
      <w:r>
        <w:t xml:space="preserve">1. das Bundeszentralamt für Steuern,</w:t>
      </w:r>
    </w:p>
    <w:p>
      <w:pPr>
        <w:ind w:left="420"/>
      </w:pPr>
      <w:r>
        <w:t xml:space="preserve">2. die Deutsche Post AG und</w:t>
      </w:r>
    </w:p>
    <w:p>
      <w:pPr>
        <w:ind w:left="420"/>
      </w:pPr>
      <w:r>
        <w:t xml:space="preserve">3. die Deutsche Rentenversicherung Knappschaft-Bahn-See.</w:t>
      </w:r>
    </w:p>
    <w:p>
      <w:r>
        <w:t xml:space="preserve">Im Fall des Satzes 1 Nummer 1 werden vor der Übermittlung der Anfragedatensätze die Angaben zum Geschlecht und Geburtsort entfernt. Im Fall des Satzes 1 Nummer 2 und 3 werden die Anfragedatensätze, wenn möglich, um die Versicherungsnummer ergänzt. Die in Satz 1 genannten Stellen übermitteln die Antwortdatensätze bis zum 15. des zweiten auf den Abgleichszeitraum folgenden Monats an die Datenstelle.</w:t>
      </w:r>
    </w:p>
    <w:p>
      <w:r>
        <w:t xml:space="preserve">(4) Die Datenstelle übermittelt der Wohngeldbehörde die Antwortdatensätze aus dem automatisierten Datenabgleich nach § 18 Absatz 1 und die Antwortdatensätze nach Absatz 3 Satz 4 bis zum Ende des zweiten auf den Abgleichszeitraum folgenden Monats. Im Fall des Absatzes 2 Satz 3 erfolgt die Übermittlung über die zentrale Landesstelle, die in diesem Fall die Antwortdatensätze ordnend aufbereiten darf.</w:t>
      </w:r>
    </w:p>
    <w:p>
      <w:r>
        <w:rPr>
          <w:color w:val="555555"/>
          <w:sz w:val="17"/>
        </w:rPr>
        <w:t xml:space="preserve">Zitiervorschlag: § 17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