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WoGV — Außer Betracht bleibende Belastung</w:t>
      </w:r>
    </w:p>
    <w:p>
      <w:r>
        <w:rPr>
          <w:color w:val="555555"/>
          <w:sz w:val="18"/>
        </w:rPr>
        <w:t xml:space="preserve">Wohngeldverordnung</w:t>
      </w:r>
    </w:p>
    <w:p>
      <w:r>
        <w:rPr>
          <w:color w:val="555555"/>
          <w:sz w:val="18"/>
        </w:rPr>
        <w:t xml:space="preserve">Stand: 10.06.2019 (konsolidierte Textfassung, kein amtliches Inkrafttretensdatum)</w:t>
      </w:r>
    </w:p>
    <w:p>
      <w:r>
        <w:t xml:space="preserve">(1) In den Fällen des § 11 Abs. 2 Nr. 1 des Wohngeldgesetzes bleibt die Belastung insoweit außer Betracht, als sie auf die in § 9 Abs. 2 und 3 dieser Verordnung bezeichneten Räume oder Flächen entfällt, die ausschließlich gewerblich oder beruflich benutzt werden. Soweit die Belastung auf Räume oder Flächen entfällt, die zum Wirtschaftsteil einer Kleinsiedlung oder einer landwirtschaftlichen Nebenerwerbsstelle gehören, wird sie jedoch berücksichtigt, soweit sie nicht nach § 11 Abs. 2 und 3 des Wohngeldgesetzes außer Betracht bleiben.</w:t>
      </w:r>
    </w:p>
    <w:p>
      <w:r>
        <w:t xml:space="preserve">(2) In den Fällen des § 11 Abs. 2 Nr. 2 des Wohngeldgesetzes sind von dem Entgelt für die Gebrauchsüberlassung von Räumen oder Flächen an einen anderen die darin enthaltenen Beträge</w:t>
      </w:r>
    </w:p>
    <w:p>
      <w:pPr>
        <w:ind w:left="420"/>
      </w:pPr>
      <w:r>
        <w:t xml:space="preserve">1. zur Deckung der Betriebskosten für Heizungs- und Brennstoffversorgungsanlagen sowie Warmwasserversorgungsanlagen und</w:t>
      </w:r>
    </w:p>
    <w:p>
      <w:pPr>
        <w:ind w:left="420"/>
      </w:pPr>
      <w:r>
        <w:t xml:space="preserve">2. zur Deckung der Kosten der eigenständig gewerblichen Lieferung von Wärme und Warmwasser, soweit sie den in Nummer 1 bezeichneten Kosten entsprechen,</w:t>
      </w:r>
    </w:p>
    <w:p>
      <w:pPr>
        <w:ind w:left="420"/>
      </w:pPr>
      <w:r>
        <w:t xml:space="preserve">3. (weggefallen)</w:t>
      </w:r>
    </w:p>
    <w:p>
      <w:r>
        <w:t xml:space="preserve">abzusetzen. § 6 Abs. 1 und 2 dieser Verordnung ist entsprechend anzuwenden.</w:t>
      </w:r>
    </w:p>
    <w:p>
      <w:r>
        <w:t xml:space="preserve">(3) Ist eine Garage oder ein Stellplatz zum Abstellen von Kraftfahrzeugen Gegenstand der Wohngeld-Lastenberechnung, gilt hinsichtlich der außer Betracht bleibenden Belastung § 6 Absatz 2 Nummer 4 entsprechend. Ist die Garage oder der Stellplatz einem anderen gegen ein höheres Entgelt überlassen als zu den in § 6 Absatz 2 Nummer 4 genannten Beträgen, so ist das Entgelt in voller Höhe abzusetzen.</w:t>
      </w:r>
    </w:p>
    <w:p>
      <w:r>
        <w:t xml:space="preserve">(4) (weggefallen)</w:t>
      </w:r>
    </w:p>
    <w:p>
      <w:r>
        <w:rPr>
          <w:color w:val="555555"/>
          <w:sz w:val="17"/>
        </w:rPr>
        <w:t xml:space="preserve">Zitiervorschlag: § 15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