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WoGV — Nutzungsentgelte und Wärmelieferungskosten</w:t>
      </w:r>
    </w:p>
    <w:p>
      <w:r>
        <w:rPr>
          <w:color w:val="555555"/>
          <w:sz w:val="18"/>
        </w:rPr>
        <w:t xml:space="preserve">Wohngeldverordnung</w:t>
      </w:r>
    </w:p>
    <w:p>
      <w:r>
        <w:rPr>
          <w:color w:val="555555"/>
          <w:sz w:val="18"/>
        </w:rPr>
        <w:t xml:space="preserve">Stand: 10.06.2019 (konsolidierte Textfassung, kein amtliches Inkrafttretensdatum)</w:t>
      </w:r>
    </w:p>
    <w:p>
      <w:r>
        <w:t xml:space="preserve">(1) Leistet die wohngeldberechtigte Person an Stelle des Kapitaldienstes, der Instandhaltungskosten, der Betriebskosten und der Verwaltungskosten ein Nutzungsentgelt an einen Dritten, so ist das Nutzungsentgelt in der Wohngeld-Lastenberechnung in Höhe der nach den §§ 12 und 13 ansetzbaren Beträge anzusetzen. Soweit die Beträge nach Satz 1 im Nutzungsentgelt nicht enthalten sind und von der wohngeldberechtigten Person unmittelbar an den Gläubiger entrichtet werden, sind diese Beträge dem Nutzungsentgelt hinzuzurechnen. Soweit eine Aufgliederung des Nutzungsentgelts nicht möglich ist, ist in der Wohngeld-Lastenberechnung das gesamte Nutzungsentgelt anzusetzen.</w:t>
      </w:r>
    </w:p>
    <w:p>
      <w:r>
        <w:t xml:space="preserve">(2) Bezahlt die wohngeldberechtigte Person Beträge zur Deckung der Kosten der eigenständig gewerblichen Lieferung von Wärme und Warmwasser, so sind diese Beträge mit Ausnahme der in § 15 Abs. 2 Satz 1 Nr. 2 bezeichneten Kosten in der Wohngeld-Lastenberechnung anzusetzen. § 6 Abs. 2 Satz 1 Nr. 1 und 2 ist entsprechend anzuwenden.</w:t>
      </w:r>
    </w:p>
    <w:p>
      <w:r>
        <w:rPr>
          <w:color w:val="555555"/>
          <w:sz w:val="17"/>
        </w:rPr>
        <w:t xml:space="preserve">Zitiervorschlag: § 14 WoGV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https://recht.nulegal.eu/gesetze/WoGV/14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