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WoGV — Belastung aus der Bewirtschaftung</w:t>
      </w:r>
    </w:p>
    <w:p>
      <w:r>
        <w:rPr>
          <w:color w:val="555555"/>
          <w:sz w:val="18"/>
        </w:rPr>
        <w:t xml:space="preserve">Wohngeldverordnung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Als Belastung aus der Bewirtschaftung sind Instandhaltungskosten, Verwaltungskosten und Betriebskosten ohne die Heizkosten auszuweisen.</w:t>
      </w:r>
    </w:p>
    <w:p>
      <w:r>
        <w:t xml:space="preserve">(2) Als Instandhaltungs- und Betriebskosten sind im Jahr 36 Euro je Quadratmeter Wohnfläche und je Quadratmeter Nutzfläche der Geschäftsräume sowie die für den Gegenstand der Wohngeld-Lastenberechnung entrichtete Grundsteuer anzusetzen. Als Verwaltungskosten sind die für den Gegenstand der Wohngeld-Lastenberechnung an einen Dritten für die Verwaltung geleisteten Beträge anzusetzen. Über die in den Sätzen 1 und 2 genannten Beträge hinaus dürfen Bewirtschaftungskosten nicht angesetzt werden.</w:t>
      </w:r>
    </w:p>
    <w:p>
      <w:r>
        <w:rPr>
          <w:color w:val="555555"/>
          <w:sz w:val="17"/>
        </w:rPr>
        <w:t xml:space="preserve">Zitiervorschlag: § 13 WoGV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