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WoGV — Belastung aus dem Kapitaldienst</w:t>
      </w:r>
    </w:p>
    <w:p>
      <w:r>
        <w:rPr>
          <w:color w:val="555555"/>
          <w:sz w:val="18"/>
        </w:rPr>
        <w:t xml:space="preserve">Wohngeldverordnung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Belastung aus dem Kapitaldienst sind auszuweisen:</w:t>
      </w:r>
    </w:p>
    <w:p>
      <w:pPr>
        <w:ind w:left="420"/>
      </w:pPr>
      <w:r>
        <w:t xml:space="preserve">1. die Zinsen und laufenden Nebenleistungen, insbesondere Verwaltungskostenbeiträge der ausgewiesenen Fremdmittel,</w:t>
      </w:r>
    </w:p>
    <w:p>
      <w:pPr>
        <w:ind w:left="420"/>
      </w:pPr>
      <w:r>
        <w:t xml:space="preserve">2. die Tilgungen der ausgewiesenen Fremdmittel,</w:t>
      </w:r>
    </w:p>
    <w:p>
      <w:pPr>
        <w:ind w:left="420"/>
      </w:pPr>
      <w:r>
        <w:t xml:space="preserve">3. die laufenden Bürgschaftskosten der ausgewiesenen Fremdmittel,</w:t>
      </w:r>
    </w:p>
    <w:p>
      <w:pPr>
        <w:ind w:left="420"/>
      </w:pPr>
      <w:r>
        <w:t xml:space="preserve">4. die Erbbauzinsen, Renten und sonstigen wiederkehrenden Leistungen zur Finanzierung der in § 11 genannten Zwecke.</w:t>
      </w:r>
    </w:p>
    <w:p>
      <w:r>
        <w:t xml:space="preserve">Als Tilgungen sind auch die</w:t>
      </w:r>
    </w:p>
    <w:p>
      <w:pPr>
        <w:ind w:left="420"/>
      </w:pPr>
      <w:r>
        <w:t xml:space="preserve">a) Prämien für Personenversicherungen zur Rückzahlung von Festgeldhypotheken und</w:t>
      </w:r>
    </w:p>
    <w:p>
      <w:pPr>
        <w:ind w:left="420"/>
      </w:pPr>
      <w:r>
        <w:t xml:space="preserve">b) Bausparbeiträge, wenn der angesparte Betrag für die Rückzahlung von Fremdmitteln zweckgebunden ist,</w:t>
      </w:r>
    </w:p>
    <w:p>
      <w:r>
        <w:t xml:space="preserve">in Höhe von 2 Prozent dieser Fremdmittel auszuweisen.</w:t>
      </w:r>
    </w:p>
    <w:p>
      <w:r>
        <w:t xml:space="preserve">(2) Für die in Absatz 1 Nr. 1 und 2 genannte Belastung aus dem Kapitaldienst darf höchstens die vereinbarte Jahresleistung angesetzt werden. Ist die tatsächliche Leistung geringer, ist die geringere Leistung anzusetzen.</w:t>
      </w:r>
    </w:p>
    <w:p>
      <w:r>
        <w:rPr>
          <w:color w:val="555555"/>
          <w:sz w:val="17"/>
        </w:rPr>
        <w:t xml:space="preserve">Zitiervorschlag: § 12 WoGV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