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WoGV — Ausweisung der Fremdmittel</w:t>
      </w:r>
    </w:p>
    <w:p>
      <w:r>
        <w:rPr>
          <w:color w:val="555555"/>
          <w:sz w:val="18"/>
        </w:rPr>
        <w:t xml:space="preserve">Wohngeldverordnung</w:t>
      </w:r>
    </w:p>
    <w:p>
      <w:r>
        <w:rPr>
          <w:color w:val="555555"/>
          <w:sz w:val="18"/>
        </w:rPr>
        <w:t xml:space="preserve">Stand: 10.06.2019 (konsolidierte Textfassung, kein amtliches Inkrafttretensdatum)</w:t>
      </w:r>
    </w:p>
    <w:p>
      <w:r>
        <w:t xml:space="preserve">(1) In der Wohngeld-Lastenberechnung sind Fremdmittel mit dem Nennbetrag auszuweisen, wenn sie der Finanzierung folgender Zwecke gedient haben:</w:t>
      </w:r>
    </w:p>
    <w:p>
      <w:pPr>
        <w:ind w:left="420"/>
      </w:pPr>
      <w:r>
        <w:t xml:space="preserve">1. des Wohnungsbaus im Sinne des § 16 Abs. 1 und 2 des Wohnraumförderungsgesetzes; maßgebend ist der Wohnraumbegriff des § 2 des Wohngeldgesetzes;</w:t>
      </w:r>
    </w:p>
    <w:p>
      <w:pPr>
        <w:ind w:left="420"/>
      </w:pPr>
      <w:r>
        <w:t xml:space="preserve">2. der Verbesserung des Gegenstandes der Wohngeld-Lastenberechnung durch Modernisierung im Sinne des § 16 Abs. 3 des Wohnraumförderungsgesetzes; maßgebend ist der Wohnraumbegriff des § 2 des Wohngeldgesetzes;</w:t>
      </w:r>
    </w:p>
    <w:p>
      <w:pPr>
        <w:ind w:left="420"/>
      </w:pPr>
      <w:r>
        <w:t xml:space="preserve">3. der nachträglichen Errichtung oder des nachträglichen Ausbaus einer dem öffentlichen Verkehr dienenden Verkehrsfläche oder des nachträglichen Anschlusses an Versorgungs- und Entwässerungsanlagen;</w:t>
      </w:r>
    </w:p>
    <w:p>
      <w:pPr>
        <w:ind w:left="420"/>
      </w:pPr>
      <w:r>
        <w:t xml:space="preserve">4. des Kaufpreises und der Erwerbskosten für den Gegenstand der Wohngeld-Lastenberechnung.</w:t>
      </w:r>
    </w:p>
    <w:p>
      <w:r>
        <w:t xml:space="preserve">Zu den mit dem Nennbetrag auszuweisenden Fremdmitteln gehören auch Darlehen zur Deckung der laufenden Aufwendungen sowie Annuitätsdarlehen aus Mitteln öffentlicher Haushalte.</w:t>
      </w:r>
    </w:p>
    <w:p>
      <w:r>
        <w:t xml:space="preserve">(2) Sind die in Absatz 1 bezeichneten Fremdmittel durch andere Fremdmittel ersetzt worden, so sind in der Wohngeld-Lastenberechnung die anderen Fremdmittel an Stelle der ersetzten Fremdmittel höchstens mit dem Betrag auszuweisen, der bis zur Ersetzung noch nicht getilgt war. Eine Ersetzung liegt nicht vor, wenn Dauerfinanzierungsmittel an die Stelle von Zwischenfinanzierungsmitteln treten.</w:t>
      </w:r>
    </w:p>
    <w:p>
      <w:r>
        <w:t xml:space="preserve">(3) Ist für die in den Absätzen 1 und 2 bezeichneten Fremdmittel Kapitaldienst nicht, noch nicht oder nicht mehr zu leisten, sind sie in der Wohngeld-Lastenberechnung nicht auszuweisen.</w:t>
      </w:r>
    </w:p>
    <w:p>
      <w:r>
        <w:rPr>
          <w:color w:val="555555"/>
          <w:sz w:val="17"/>
        </w:rPr>
        <w:t xml:space="preserve">Zitiervorschlag: § 11 WoGV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https://recht.nulegal.eu/gesetze/WoGV/11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