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WoGV — Fremdmittel</w:t>
      </w:r>
    </w:p>
    <w:p>
      <w:r>
        <w:rPr>
          <w:color w:val="555555"/>
          <w:sz w:val="18"/>
        </w:rPr>
        <w:t xml:space="preserve">Wohngeldverordnung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Fremdmittel im Sinne dieser Verordnung sind</w:t>
      </w:r>
    </w:p>
    <w:p>
      <w:pPr>
        <w:ind w:left="420"/>
      </w:pPr>
      <w:r>
        <w:t xml:space="preserve">1. Darlehen,</w:t>
      </w:r>
    </w:p>
    <w:p>
      <w:pPr>
        <w:ind w:left="420"/>
      </w:pPr>
      <w:r>
        <w:t xml:space="preserve">2. gestundete Restkaufgelder,</w:t>
      </w:r>
    </w:p>
    <w:p>
      <w:pPr>
        <w:ind w:left="420"/>
      </w:pPr>
      <w:r>
        <w:t xml:space="preserve">3. gestundete öffentliche Lasten des Grundstücks</w:t>
      </w:r>
    </w:p>
    <w:p>
      <w:r>
        <w:t xml:space="preserve">ohne Rücksicht darauf, ob sie dinglich gesichert sind oder nicht.</w:t>
      </w:r>
    </w:p>
    <w:p>
      <w:r>
        <w:rPr>
          <w:color w:val="555555"/>
          <w:sz w:val="17"/>
        </w:rPr>
        <w:t xml:space="preserve">Zitiervorschlag: § 10 WoGV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https://recht.nulegal.eu/gesetze/WoGV/10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