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WoGV — Anwendungsbereich</w:t>
      </w:r>
    </w:p>
    <w:p>
      <w:r>
        <w:rPr>
          <w:color w:val="555555"/>
          <w:sz w:val="18"/>
        </w:rPr>
        <w:t xml:space="preserve">Wohngeldverordnung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Miete und der Mietwert im Sinne des Wohngeldgesetzes sind nach den Vorschriften des Teils 2 dieser Verordnung zu ermitteln.</w:t>
      </w:r>
    </w:p>
    <w:p>
      <w:r>
        <w:t xml:space="preserve">(2) Die Belastung im Sinne des Wohngeldgesetzes ist nach Teil 3 dieser Verordnung zu berechnen, soweit nicht nach § 10 Abs. 2 Satz 2 des Wohngeldgesetzes von einer vollständigen Wohngeld-Lastenberechnung abgesehen werden kann.</w:t>
      </w:r>
    </w:p>
    <w:p>
      <w:r>
        <w:t xml:space="preserve">(3) Die Mietenstufen für Gemeinden ergeben sich aus der dieser Verordnung beigefügten Anlage.</w:t>
      </w:r>
    </w:p>
    <w:p>
      <w:r>
        <w:rPr>
          <w:color w:val="555555"/>
          <w:sz w:val="17"/>
        </w:rPr>
        <w:t xml:space="preserve">Zitiervorschlag: § 1 WoGV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