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WoGG — Zu berücksichtigende Haushaltsmitglieder</w:t>
      </w:r>
    </w:p>
    <w:p>
      <w:r>
        <w:rPr>
          <w:color w:val="555555"/>
          <w:sz w:val="18"/>
        </w:rPr>
        <w:t xml:space="preserve">Wohngeldgesetz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Berechnung des Wohngeldes sind vorbehaltlich des Absatzes 2 und der §§ 7 und 8 sämtliche Haushaltsmitglieder zu berücksichtigen (zu berücksichtigende Haushaltsmitglieder).</w:t>
      </w:r>
    </w:p>
    <w:p>
      <w:r>
        <w:t xml:space="preserve">(2) Stirbt ein zu berücksichtigendes Haushaltsmitglied, ist dies für die Dauer von zwölf Monaten nach dem Sterbemonat ohne Einfluss auf die bisher maßgebende Anzahl der zu berücksichtigenden Haushaltsmitglieder. Satz 1 ist nicht mehr anzuwenden, wenn nach dem Todesfall</w:t>
      </w:r>
    </w:p>
    <w:p>
      <w:pPr>
        <w:ind w:left="420"/>
      </w:pPr>
      <w:r>
        <w:t xml:space="preserve">1. die Wohnung aufgegeben wird,</w:t>
      </w:r>
    </w:p>
    <w:p>
      <w:pPr>
        <w:ind w:left="420"/>
      </w:pPr>
      <w:r>
        <w:t xml:space="preserve">2. die Zahl der zu berücksichtigenden Haushaltsmitglieder sich mindestens auf den Stand vor dem Todesfall erhöht oder</w:t>
      </w:r>
    </w:p>
    <w:p>
      <w:pPr>
        <w:ind w:left="420"/>
      </w:pPr>
      <w:r>
        <w:t xml:space="preserve">3. der auf den Verstorbenen entfallende Anteil der Kosten der Unterkunft in einer Leistung nach § 7 Abs. 1 mindestens teilweise berücksichtigt wird.</w:t>
      </w:r>
    </w:p>
    <w:p>
      <w:r>
        <w:rPr>
          <w:color w:val="555555"/>
          <w:sz w:val="17"/>
        </w:rPr>
        <w:t xml:space="preserve">Zitiervorschlag: § 6 WoGG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