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WoGG — Auswirkung von Rechtsänderungen auf die Wohngeldentscheidung</w:t>
      </w:r>
    </w:p>
    <w:p>
      <w:r>
        <w:rPr>
          <w:color w:val="555555"/>
          <w:sz w:val="18"/>
        </w:rPr>
        <w:t xml:space="preserve">Wohngeldgesetz</w:t>
      </w:r>
    </w:p>
    <w:p>
      <w:r>
        <w:rPr>
          <w:color w:val="555555"/>
          <w:sz w:val="18"/>
        </w:rPr>
        <w:t xml:space="preserve">Stand: 10.06.2019 (konsolidierte Textfassung, kein amtliches Inkrafttretensdatum)</w:t>
      </w:r>
    </w:p>
    <w:p>
      <w:r>
        <w:t xml:space="preserve">(1) Ist im Zeitpunkt des Inkrafttretens von Änderungen dieses Gesetzes oder der Wohngeldverordnung über einen Wohngeldantrag noch nicht entschieden, ist für die Zeit bis zum Inkrafttreten der Änderungen nach dem bis dahin geltenden Recht, für die darauf folgende Zeit nach dem neuen Recht zu entscheiden. Ist über einen nach dem Zeitpunkt des Inkrafttretens von Änderungen dieses Gesetzes oder der Wohngeldverordnung gestellten Wohngeldantrag, einen Antrag nach § 27 Absatz 1 oder in einem Verfahren nach § 27 Absatz 2 zu entscheiden und beginnt der Bewilligungszeitraum vor dem Zeitpunkt des Inkrafttretens von Änderungen dieses Gesetzes oder der Wohngeldverordnung, ist Satz 1 entsprechend anzuwenden.</w:t>
      </w:r>
    </w:p>
    <w:p>
      <w:r>
        <w:t xml:space="preserve">(2) Ist vor dem Inkrafttreten von Änderungen dieses Gesetzes oder der Wohngeldverordnung über einen Wohngeldantrag entschieden worden, verbleibt es für die Leistung des Wohngeldes auf Grund dieses Antrages bei der Anwendung des jeweils bis zu der Entscheidung geltenden Rechts.</w:t>
      </w:r>
    </w:p>
    <w:p>
      <w:r>
        <w:rPr>
          <w:color w:val="555555"/>
          <w:sz w:val="17"/>
        </w:rPr>
        <w:t xml:space="preserve">Zitiervorschlag: § 41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